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Elmwood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Elmwood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August 2016</w:t>
      </w:r>
      <w:bookmarkEnd w:id="7"/>
      <w:r w:rsidRPr="009418D4">
        <w:rPr>
          <w:rFonts w:cs="Arial"/>
        </w:rPr>
        <w:tab/>
        <w:t xml:space="preserve">End date: </w:t>
      </w:r>
      <w:bookmarkStart w:id="8" w:name="AuditEndDate"/>
      <w:r w:rsidR="00A4268A">
        <w:rPr>
          <w:rFonts w:cs="Arial"/>
        </w:rPr>
        <w:t>3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Elmwood Rest Home and Village can provide rest home and hospital level care for up to 139 residents. This certification audit was conducted against the Health and Disability Service Standards and the service contract with Counties Manukau District Health Board. </w:t>
      </w:r>
    </w:p>
    <w:p w:rsidRPr="00A4268A">
      <w:pPr>
        <w:spacing w:before="240" w:line="276" w:lineRule="auto"/>
        <w:rPr>
          <w:rFonts w:eastAsia="Calibri"/>
        </w:rPr>
      </w:pPr>
      <w:r w:rsidRPr="00A4268A">
        <w:rPr>
          <w:rFonts w:eastAsia="Calibri"/>
        </w:rPr>
        <w:t>The audit process included the review of policies, procedures, supporting documents, resident files, staff files and observations,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two clinical leaders as well as a regional and executive management team. Service delivery is monitored. There are two areas requiring improvement relating to the long term care plan completion and evaluation of care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information (the Code), the complaints process and the Nationwide Health and Disability Advocacy Service information, is available. This information is given to residents’ and their families on admission to the facility. The business and care manager is responsible for management of all complaints. Interviews confirmed that staff are polite and respectful of residents needs and communication is appropriate. The residents' cultural, spiritual and individual values and beliefs are assessed on admission. Staff ensure that residents are informed and have choices related to the care they receive.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is the governing body and is responsible for the service provided at Elmwood Rest Home and Village. The business and care manager is appropriately qualified and experienced. The clinical manager is responsible for oversight of clinical care. </w:t>
      </w:r>
    </w:p>
    <w:p w:rsidRPr="00A4268A">
      <w:pPr>
        <w:spacing w:before="240" w:line="276" w:lineRule="auto"/>
        <w:rPr>
          <w:rFonts w:eastAsia="Calibri"/>
        </w:rPr>
      </w:pPr>
      <w:r w:rsidRPr="00A4268A">
        <w:rPr>
          <w:rFonts w:eastAsia="Calibri"/>
        </w:rPr>
        <w:t xml:space="preserve">Oceania Care Company Limited has a documented quality and risk management system that supports the provision of clinical care and support at the service. Policies are reviewed at support office. Quality and risk performance is reported through meetings at the facility and is monitored by the organisation's management team through the business status and regional operations manager reports. Benchmarking reports include incidents/accidents, infections, complaints and clinical indicators with trends analysed to improve service delivery. </w:t>
      </w:r>
    </w:p>
    <w:p w:rsidRPr="00A4268A">
      <w:pPr>
        <w:spacing w:before="240" w:line="276" w:lineRule="auto"/>
        <w:rPr>
          <w:rFonts w:eastAsia="Calibri"/>
        </w:rPr>
      </w:pPr>
      <w:r w:rsidRPr="00A4268A">
        <w:rPr>
          <w:rFonts w:eastAsia="Calibri"/>
        </w:rPr>
        <w:t>There are human resource policies implemented relating to recruitment, selection, orientation, staff training and staff development. Professional qualifications are validated and registration with professional bodies is verified. A documented rationale for determining staffing levels and skill mix is implemented to reflect the resident’s acuity to ensure the correct allocation of clinical staff is applied. The service has an annual training plan to ensure ongoing training and education for all staff members. The business and care manager is available after hours if required, care staff, residents and family report that there is adequate staff available. Residents’ information is recorded accurately and in a timely manner. All residents’ information is maintained in a secure environment, with no public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files reviewed demonstrated the initial assessments and the initial care plans are conducted on admission to the facility. The long term care plans record resident’s needs, goals and the assistance and interventions required. Where progress is different from expected, the service responds by initiating changes to the long term care plan or recording the changes on a short term care plan.</w:t>
      </w:r>
    </w:p>
    <w:p w:rsidRPr="00A4268A" w:rsidP="00621629">
      <w:pPr>
        <w:spacing w:before="240" w:line="276" w:lineRule="auto"/>
        <w:rPr>
          <w:rFonts w:eastAsia="Calibri"/>
        </w:rPr>
      </w:pPr>
      <w:r w:rsidRPr="00A4268A">
        <w:rPr>
          <w:rFonts w:eastAsia="Calibri"/>
        </w:rPr>
        <w:t>Activities are planned and the programme is available to residents and family. The activities programme includes a wide range of activities and involvement with wider community. The residents and family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There is an appropriate medicine management system in place. Staff responsible for medicine management attend medication management in-service education and have current medication competencies. The residents self-administering medicines do so according to policy.</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There is a central kitchen and on site staff that provide the food service. The menu has been reviewed by a registered dietitian as meeting nutritional guidelines.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expiring in March 2017. The environment is appropriate to the needs of the residents. The building and equipment complies with legislative requirements. A preventative and reactive maintenance programme includes equipment and electrical checks. The physical environment reduces risks and promotes safety and independence for residents. Residents are provided with accessible and safe external areas. Resident rooms are of an appropriate size to enable care. 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practice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The process of assessment, consent, care planning, monitoring and evaluation of restraint is recorded in policy and is implemented.</w:t>
      </w:r>
    </w:p>
    <w:p w:rsidRPr="00A4268A">
      <w:pPr>
        <w:spacing w:before="240" w:line="276" w:lineRule="auto"/>
        <w:rPr>
          <w:rFonts w:eastAsia="Calibri"/>
        </w:rPr>
      </w:pPr>
      <w:r w:rsidRPr="00A4268A">
        <w:rPr>
          <w:rFonts w:eastAsia="Calibri"/>
        </w:rPr>
        <w:t>Staff education in restraint, de-escalation and challenging behaviour had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and contain all requirements of the standard. The policies and procedures guide staff in all areas of infection control practice. New employees are provided with training in infection control practices and there is on-going infection control education available for all staff.</w:t>
      </w:r>
    </w:p>
    <w:p w:rsidRPr="00A4268A">
      <w:pPr>
        <w:spacing w:before="240" w:line="276" w:lineRule="auto"/>
        <w:rPr>
          <w:rFonts w:eastAsia="Calibri"/>
        </w:rPr>
      </w:pPr>
      <w:r w:rsidRPr="00A4268A">
        <w:rPr>
          <w:rFonts w:eastAsia="Calibri"/>
        </w:rPr>
        <w:t>Staff are familiar with infection control measures at the facility.</w:t>
      </w:r>
    </w:p>
    <w:p w:rsidRPr="00A4268A">
      <w:pPr>
        <w:spacing w:before="240" w:line="276" w:lineRule="auto"/>
        <w:rPr>
          <w:rFonts w:eastAsia="Calibri"/>
        </w:rPr>
      </w:pPr>
      <w:r w:rsidRPr="00A4268A">
        <w:rPr>
          <w:rFonts w:eastAsia="Calibri"/>
        </w:rPr>
        <w:t>The infection control surveillance data confirms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1"/>
        <w:gridCol w:w="1280"/>
        <w:gridCol w:w="97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have received education on the Health and Disability Commissioner (HDC) Code of Health and Disability Services Consumers' Rights (the Code) as a requirement of their induction to the service. This also forms part of their annual mandatory education programme. Interviews with the staff confirmed their understanding of the Code. Examples were provided on ways the Code is implemented in their everyday practice especially regarding maintaining of residents' privacy, providing residents with choices, encouraging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information on how to make a complaint and brochures on the Code advocacy services. Care staff are respectful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systems in place to support residents and where appropriate their family who are being provided with information, to assist then to make informed choices and give informed consent. Care staff interviews confirmed staff training is provided to ensure policy and systems are adhered 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confirmed informed consent is discussed and documented at the time the resident is admitted to the facility and reviewed when required. Family interviews confirmed they have been made aware of and understand the principles of informed consent. Copies of legal documents such as Enduring Power of Attorney (EPOA) for residents are retained at the facility where residents have named EPOAs (sighted in residents’ files). The policy and procedure includes guidelines for consent for resuscitation/advance directives. A review of files noted that all had appropriately signed advance directives. The general practitioner (GP) makes a clinical decision around resuscitation and ongoing treatment for residents who are not able to make an advance directive (and have no advance directive documented in the past). The advance directive is discussed with the family and/or EPOA prior to the doctor signing the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on admission. Written information on the role of advocacy services is also provided to complainants at the time when their complaint is being acknowledged.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the role of advocacy services is included in training on HDC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family/EPOA to be involved in decisions and they stated that they have been informed about advocacy services. The advocate for the area is invited and attends the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Family interviews confirmed residents have access to visitors of their choice and go out independently with their family and friends. The service has a visitors policy and guidelines to ensure resident safety and wellbeing is not compromised by visitors to the service. Evidence of residents’ outings and appointments were reviewed in the resident’s activity plan and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timeframes for responding to a complaint. Complaint forms are available at the entrance. A complaints register is in place and the register includes: the date the complaint was received; the source of the complaint; a description of the complaint; and the date the complaint was resolved. An extensive review of complaints was reviewed and every aspect of each complaint was reviewed and fully embedded in practice. communicated back to the complainant and all stakeholders implicated in the complaint. There was evidence of staff training on complaints in February 2016. Residents and Family members confirmed they knew the process and felt comfortable to complain.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 gains details of residnets’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prevention and detection of abuse and neglect by ensuring provision of quality care. Staff receive annual training on abuse and neglect and can describe signs. There were no documented incidents of abuse or neglect in the business status reports for 2015 or on incidents reviewed in resident files. Residents, staff, family and the general practitioner confirmed that there is no evidence of abuse or neglect. Abuse and neglect training is included in the mandatory training programme for staff, which was evidenced in the staff training records. Residents’ support needs are assessed using a holistic approach. The initial and on-going assessment includes residents’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knocking before entering residents’ rooms and closed doors while attending to residents’ needs. Residents were observed being treated with respect by care staff during this audit and addressed residents using their preferred names. Activities and outings in the community are encouraged, and are part of the residents’ activities plan. Values, beliefs and cultural aspects of care were recorded in residents’ clinical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 gains details of residnets’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prevention and detection of abuse and neglect by ensuring provision of quality care. Staff receive annual training on abuse and neglect and can describe signs. There were no documented incidents of abuse or neglect in the business status reports for 2015 or on incidents reviewed in resident files. Residents, staff, family and the general practitioner confirmed that there is no evidence of abuse or neglect. Abuse and neglect training is included in the mandatory training programme for staff, which was evidenced in the staff training records. Residents’ support needs are assessed using a holistic approach. The initial and on-going assessment includes residents’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knocking before entering residents’ rooms and closed doors while attending to residents’ needs. Residents were observed being treated with respect by care staff during this audit and addressed residents using their preferred names. Activities and outings in the community are encouraged, and are part of the residents’ activities plan. Values, beliefs and cultural aspects of care were recorded in residents’ clinical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describes that the holistic view of Māori health is to be incorporated into the delivery of services. The rights of the residents/family to practise their own beliefs are acknowledged in the Māori health plan. Access to Māori support and advocacy services is available if required from a local provider of health and social services. </w:t>
            </w:r>
          </w:p>
          <w:p w:rsidR="00EB7645" w:rsidRPr="00BE00C7" w:rsidP="00BE00C7">
            <w:pPr>
              <w:pStyle w:val="OutcomeDescription"/>
              <w:spacing w:before="120" w:after="120"/>
              <w:rPr>
                <w:rFonts w:cs="Arial"/>
                <w:b w:val="0"/>
                <w:lang w:eastAsia="en-NZ"/>
              </w:rPr>
            </w:pPr>
            <w:r w:rsidRPr="00BE00C7">
              <w:rPr>
                <w:rFonts w:cs="Arial"/>
                <w:b w:val="0"/>
                <w:lang w:eastAsia="en-NZ"/>
              </w:rPr>
              <w:t>Staff members also provide cultural advice and support for staff if required. A cultural assessment is completed as part of the care plan for all residents. Specific cultural needs are identified in the residents’ care plans and this was sighted in files reviewed. Staff are aware of the importance of whānau in the delivery of care for the Māori residents. Family/whānau are able to be involved in the care of their family members. Monthly culture themes are embedded in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are consulted on their individual values and beliefs as part of the admission assessment process. Residents' files demonstrated that admission documentation identifies the ethnicity, cultural and spiritual requirements for the residents as well as family/whānau contact details. During interviews care staff demonstrated their knowledge and understanding of the cultural safety in relation to care and confirmed that processes are in place for residents to have access to appropriate services. Documentation provided evidence that appropriate culturally safe practices are implemented and maintained, including respect for residents' cultural and spiritual values and beliefs. There is a culture of choice with the resident determining when cares occur, what clothes to wear, and choices in meals and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on discrimination, coercion, harassment, sexual, financial, or other exploitation, which include actions to be taken if there is inappropriate or unlawful conducts and is part of the mandatory staff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included copies of the code of conduct that all staff are required to adhere to. Conflict of interest issues including the accepting of gifts and personal transactions with residents are included in the staff training, policies and procedures. Expected staff practice is outlined in job descriptions and employment contracts, which were reviewed on staff files. Residents and family interviewed reported that staff maintain appropriate professional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and the clinical manager (CM) two clinical leaders (CL) and registered nurses (RN) described the process for ensuring service provision is based on best practice, including access to education by specialist educators. Staff confirmed an understanding of professional boundaries and practice. The service has systems in place to ensure staff receive a range of opportunities which promote good practice within the facility. Education is provided by specialist educators as part of the in-service education programme which is overseen by the CM with input from the BCM and the regional clinical quality manager. Documentation reviewed provided evidence that policies and procedures are based on evidence-based rationales.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Accident/incidents, the complaints and the open disclosure policies alert staff to their responsibility to notify family/enduring power of attorney of any accident/incident that occurs. These polices guide staff on the process to ensure open disclosure. Family are informed if the resident has an incident/accident, has a change in health, or a change in needs, as evidenced in residents’ care plans and accident/incident documentation.</w:t>
            </w:r>
          </w:p>
          <w:p w:rsidR="00EB7645" w:rsidRPr="00BE00C7" w:rsidP="00BE00C7">
            <w:pPr>
              <w:pStyle w:val="OutcomeDescription"/>
              <w:spacing w:before="120" w:after="120"/>
              <w:rPr>
                <w:rFonts w:cs="Arial"/>
                <w:b w:val="0"/>
                <w:lang w:eastAsia="en-NZ"/>
              </w:rPr>
            </w:pPr>
            <w:r w:rsidRPr="00BE00C7">
              <w:rPr>
                <w:rFonts w:cs="Arial"/>
                <w:b w:val="0"/>
                <w:lang w:eastAsia="en-NZ"/>
              </w:rPr>
              <w:t>There was documented evidence of communication with the general practitioner (GP) and other allied health professionals. The business and care manager advised access to interpreter services is available if required via the district health board. There is currently a multi-cultural mix of staff that are able to translate for all the residents who require a translator.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Elmwood Rest Home and Village is part of the Oceania Care Company Limited with the executive management team. The organisation’s mission statement and philosophy are displayed at the entrance to the facility, information in booklets is given to new residents and staff training is provided annually. The business and care manager (BCM) provides monthly reports to the support office. The business status reports include quality and risk management issues, occupancy, current and ongoing human resource issues, quality improvements, internal audit outcomes and clinical indicators. The service has a BCM supported by a clinical manager (CM) and two clinical leaders (CL) and the clinical quality manager. The CM is a registered nurse with current practicing certificate and has been in the position for five weeks. The CM previously worked in aged care for eight years and is in the process of completing orientation specific to the role. The CM’s position is full time. The BCM holds a current annual practising certificate and a bachelor’s degree in management and administration, has been in aged care management role for eight years and has been in this role four years. The CM appointment was confirmed with the Ministry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BCM, the CM assumes the role of the BCM, with support from the regional operations manager and the clinical quality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Elmwood Rest Home and Village uses the Oceania Care Company Limited quality and risk management framework to guide practice. All policies are reviewed by support office with input from the clinical quality manager and BCM. Policies are current and in align with the Health and Disability Sector Standards, legislation and best practice guidelines. New and revised policies are presented to staff at staff meetings and are available in hard copies. The service has a documented control system to manage new and obsolete policies.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monthly staff/quality and residents’ meetings. All meetings have a framework which is reflected in the meeting minutes, with timeframes and designated roles identified to implement any changes in practice and outcomes. The meeting minutes and communication with staff, family and residents reflect all aspects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with quality objectives was reviewed during the audit which guides the quality programme. Family/residents and staff satisfaction surveys are completed as part of their audit programme and results of the survey were reviewed. There was evidence of changes being implemented as a result of the survey.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hazard register that identifies health and safety risks. There is a designated health and safety officer who oversees all aspects of health and safety and is supported by the BCM and health and safety committee, who meet monthly. A health and safety manual is available that includes relevant policies and procedures. There is a designated health and safety board in the staff room which is updated with new and relevant documentation. Service delivery is monitored through complaints, incidents/accidents and implementation of an internal audit programme, with corrective action plans and evidence of issues completed. All incidents go through the health and safety officer in consultation with the BCM, CM and the CLs.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aware of situations in which the service is required to report and notify statutory authorities, including unexpected deaths, police attending the facility, sentinel events, infectious disease outbreaks and changes in key management roles. Staff interviews and review of documentation evidence that staff document adverse, unplanned or untoward events on an accident/incident form which are signed off by the business and care manager. Following analysis, corrective actions have been implemented and completed. Incidents had a corresponding note in the progress notes to inform staff of the incident. There have been no essential notifications to MoH and DHB since the last audit. There is currently only one coroner’s enquiry dated 2014. The documentation regarding the investigation has been completed and the service is now waiting for the final coroner’s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CM, CLs, registered nurses (RNs) and enrolled nurses (ENs) hold current practicing certificates along with health practitioners involved in the service.</w:t>
            </w:r>
          </w:p>
          <w:p w:rsidR="00EB7645" w:rsidRPr="00BE00C7" w:rsidP="00BE00C7">
            <w:pPr>
              <w:pStyle w:val="OutcomeDescription"/>
              <w:spacing w:before="120" w:after="120"/>
              <w:rPr>
                <w:rFonts w:cs="Arial"/>
                <w:b w:val="0"/>
                <w:lang w:eastAsia="en-NZ"/>
              </w:rPr>
            </w:pPr>
            <w:r w:rsidRPr="00BE00C7">
              <w:rPr>
                <w:rFonts w:cs="Arial"/>
                <w:b w:val="0"/>
                <w:lang w:eastAsia="en-NZ"/>
              </w:rPr>
              <w:t>Staff files include appointment documentation for example signed contracts and job descriptions, reference checks, police checks and orientation sign off. There is an appraisal process in place with staff files indicating that all staff have completed an annual appraisal.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piloting a new electronic system which is a software system designed to capture the organisations mandatory education and training programme with annual competencies, annual appraisals, and annual practicing certificates. The system enables real time data to ensure staff are current in their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Enrolled nurses job descriptions and interviews confirmed they are aware of and work within their scope of practice as an enrolled nurse. The service does not provide clinical oversight or care to the village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utilising a buddy system.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six registered nurses who completed InterRAI training with an additional two RN’s booked to start their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staffing policies that guide the process. Staffing levels are reviewed for anticipated workloads, identified numbers and appropriate skill mix, or as required due to changes in the services provided and the number of residents. Rosters sighted reflected staffing levels that meet resident acuity and bed occupancy. The BCM uses a matrix system that identifies the number of hours required to the resident acuity ratio. On the day of the audit the numbers of hours for the past duty roster exceeded the number required. There are 136 staff, including the management team, clinical staff, a diversional therapist and activity staff, and household staff. There is a registered nurse on duty at all times. A registered nurse and clinical manager are on call 24/7.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28 dual purpose beds. There are no dual purpose beds in the rest home section. All staff work across the rest home and hospital providing the skill mix needed to ensure appropriate services to all residents. Observation of residents and interviews with residents and family confirmed their needs are being met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Rest home residents who are in the hospital area and mobile, attend activities in the rest home. Hospital residents who are not independent attend small groups of activities provided in the hospital, specifically planned for them or one-on-one activities with the activity staff, as appropriate for the individual resident. All residents are engaged in the activities programmes.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staffing is adequate to meet the residents’ needs. Staff confirmed that they have sufficient time to complete cares scheduled.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healthcare assistant, registered nurse or other staff member, including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the nurses’ station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is not displayed in a way that it could be viewed by other residents or members of the public. Individual resident files demonstrate service integration. This included medical care interventions. Medication charts are in a separate folder with medication. Staff confirmed that they read the long term plans at the beginning of each shift and are informed of any changes through the handover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and assessment processes are recorded and implemented. InterRAI assessments are completed for rest home and hospital level of care. The facility information pack is available for residents and their family, and contains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evidenced resident and/or family and facility representative sign off. In interviews, residents and family confirmed the admission process was completed by staff in timely manner, all relevant admission information was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appropriate communication between families and other providers, that demonstrated transition, exit, discharge or transfer plans are communicated,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areas evidenced an appropriate and secure medicine dispensing system, free from heat, moisture and light, with medicines stored in original dispensed packs. The controlled drug registers are maintained and evidenced weekly checks and six monthly physical stocktakes.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rounds were observed and evidenced the staff members were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evidence residents' photo identification, legibility, as required (PRN) medication is identified for individual residents and correctly prescribed. Three monthly medicine reviews are conducted and discontinued medicines are dated and signed by the GP. The residents who self-administer medicines do so according to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to the service setting with a seasonal menu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cook confirmed they were aware of the residents’ individual dietary needs. The residents' dietary requirements are identified, documented and reviewed on a regular basis. There are current copies of the residents' dietary profiles in the kitchen. The kitchen staff are informed if resident's dietary requirements change, confirmed at interview with the cook.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monthly monitoring of individual resident's weight. In interviews, residents stated they were satisfied with the food service,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food temperatures are recorded as are the fridge, chiller and freezer temperatures. All decanted food is dated. Kitchen staff have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sighted satisfaction surveys and resident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for informing residents, their family and their referrers if entry is declined. The reason for declining entry is communicated to the referrer, resident and their family or advocate, in a timely manner and in a format that was understood. Where requested, assistance would be given to provide the resident and their family with other options for alternative health care arrangements or residential service, confirmed at management interview.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have their needs identified through a variety of information sources that include: the Needs Assessment and Service Coordination (NASC) agency; other service providers involved with the resident; the resident; family and on-site assessments using a range of assessment tools. The assessment process includes paper based risk assessment tools and the interRAI assessment tool that are completed 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processes in place to seek information from a range of sources, for example: family; GP; specialist and referrer. The facility has appropriate resources and equipment, confirmed at staff interviews. Assessments are conducted in a safe and appropriate setting including visits from the GP. In interviews, residents and family confirmed their involvement in assessments, care planning, review, treatment and evaluations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were individualised, integrated and up to date. The care plan interventions reflected the risk assessments and the level of care required. Short term care plans were developed, when required and signed off by the RN when problems are resolved. In interviews, staff reported they receive adequate information for continuity of residents’ care. The residents have input into their care planning and review. Regular GP care is implemented, sighted in current GP progress reports and confirmed at GP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evidenced detailed interventions based on assessed needs, desired outcomes or goals of the residents. The GP documentation and records are current. In interviews, residents and family confirmed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diversional therapist (DT) confirmed the activities programme meets the needs of the service group and the service has appropriate equipment. The activities staff plan, implement and evaluate the activities programmes. There is one activities programme for the rest home and hospital residents. On audit days, it was observed that the activities programme provided was attended by both rest home and hospital residents. Interviews with residents and family confirmed satisfaction with the variety of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includes input from external agencies and supports ordinary unplanned/spontaneous activities including festive occasions and celebrations. There are current, individualised activities care plans in residents’ files. The residents’ activities attendance records are maintained. The residents’ meeting minutes evidenced residents’ involvement and consultation of the planned activities programme. For residents who are unable to attend group activities, one on one activities are provided with residents’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residents’ needs and desired outcomes, however long term care plans evaluations did not consistently record the evaluations in a comprehensive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The residents' care plans are up-to-date and reviewed at least six monthly. In interviews, residents and family confirmed their participation in care plan evaluations and multidisciplinary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 term care plans are in some of the residents’ files, used when required. Interviews with family confirmed, the family are notified of any changes in the resident's condition.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recorded evidence of additional input from professionals, specialists or multidisciplinary sources, if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processes are in place to provide choices for residents in accessing or referring to other health and/or disability services. Family communication sheets confirmed family involvement. An effective multidisciplinary team approach is maintained and progress notes detailed relevant processes are implemented. The resident and the family are kept informed of the referral process, as verified by documentation and interviews. Acute/urgent referrals are attended to immediately.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were reported on in a timely manner. Policies and procedures specify labelling requirements in line with legislation including the requirement for labels to be clear, accessible to read, and are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received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for example, goggles/visors, gloves, aprons, footwear and masks. Clothing is provided and used by staff. During a tour of the facility, protective clothing and equipment was observed in all high-risk areas. Staff interviews and training records confirm knowledge and implementation of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of warrant of fitness is displayed, expiry 16 March 2017.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maintenance schedule implemented. Equipment is available, including shower chairs and sensor alarm mats. There is an annual test and tag programme and this is current with checking and calibration of clinical equipment completed annually. Interviews with staff and observation of the facility confirmed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There are internal courtyards and lawn areas with shade, seating and outdoor tables.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reported that there are sufficient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Equipment was sighted in rooms requiring this with sufficient space for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can be personalised with furnishings, photos and other personal adornments and the service encouraged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rooms to store mobility aids, such as hoists and wheel chairs. There is adequate space in the bedroom for walking frames for residents to be able to access safely during the day and night, if required. The hospital rooms and assisted care rooms are larger to accommodate specific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lounges, dining rooms and an activities room. Furniture is appropriate to the setting and arranged in a manner which enables residents to mobilise freely. Residents are able to access areas for privacy when required. The dining areas have ample space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completed on site, with covered laundry trolleys and bags in use for transport. There are designated clean and dirty areas in the laundry, with separate doors to take clean and dirty laundry in and out. Laundry staff are required to return linen to the rooms. Residents and family members stated that the laundry is well managed. There are cleaners on site during the day, seven days a week. The cleaners have a trolley to put chemicals in and they are aware that the trolley must be with them at all times. All chemicals are in appropriately labelled containers. Products are used with training around use of products provided throughout the year. The cleaner interviewed confirmed that they have training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is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approved fire evacuation plan. There have been no building reconfigurations since this date. An evacuation policy on emergency and security situations is in place. Staff attend six monthly fire drills. The orientation programme includes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with a current first aid certificate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barbecues.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utilises a pager system. There are call bells in all resident rooms, resident toilets, and communal areas, including the hallways and dining rooms. Call bell audits are routinely completed and residents and family state that there are prompt responses to call bells. Call bell response times checked by the auditors on the day of the audit, confirmed prompt response.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evenings. Staff complete a check in the evening that confirms security measures have been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All heating is provided with radiators that run from the boiler on site. There are designated external areas for residents to smoke. Families interviewed confirmed the facility is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provide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defined in the infection control policy. There is a signed infection control nurse’s (ICN) job description outlining responsibilities of the position. The ICN is supported in their role by the business and care manager (BCM) and the clinical team. There is evidence of regular reports on infection related issues and these are communicated to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Oceania wide infection control programme is reviewed annually by the Oceania infection control committee (company-wide). The facility’s infection control programme is reviewed by the infection control team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takes the leadership role in the infection control team. The ICN has access to relevant and current information, which is appropriate to the size and complexity of the service. The implementation of the infection control programme is monitored via internal audits, and benchmarking.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infection control committee (company-wide) develop and review the infection control policies and procedures to be implemented within the Oceania facilities. They are developed and reviewed regularly in consultation and input from relevant staff, and external infection control specialists. The policies and procedures are up to date, reflect current accepted good practice and relevant legislative requirements. The infection control manual is readily accessible to all personnel,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staff receive orientation to infection control upon commencement of employment. The infection control education is provided to all staff, as part of the on-going in-service education programme. The staff in-service education is provided by the ICN. There is evidence this has occurred during 2016. Education sessions have evidence of staff attendance/participation and content of the presentations. Staff are required to complete infection control competencies, sighted in staff files and confirmed at staff interviews. The ICN has undertaken infection control education/training relevant to the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advised that clinical staff identify situations where infection control education is required for a resident such as: hand hygiene; cough etiquette; and one on one education is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surveillance policy identifies the requirements around the surveillance of infections. The type of surveillance undertaken is appropriate to the size and complexity of this service. Standardised definitions are used for the identification and classification of infection events, indicators or outcomes. Infection logs are maintained for infection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evidenced the residents’ who were diagnosed with an infection had short term care plans in place. Monthly surveillance analysis is completed and reported at meetings and entered in the clinical indicators on the Oceania intranet. This information is reviewed by the Oceania clinical quality team and reported to the Oceania board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clinical leaders, the clinical manager,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ICN confirmed no outbreak has occurred at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enabler use is recorded in policy. There were no residents requesting the use of enablers and two residents using restraint on the days of the audit. The restraint use is documented in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and documented in policy.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(RMSP), enabler usage and prevention and/or de-escalation education and training is provided. The staff restraint competencies are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Care Company Limited clinical and quality team are responsible for approving any form or type of restraint practice used at Oceania facilities nationally. Oversight of restraint use at each individual Oceania facility is the responsibility of restraint coordinators. The restraint coordinator at the facility is the clinical leader (CL). The responsibilities for this role are defined in the position description.</w:t>
            </w:r>
          </w:p>
          <w:p w:rsidR="00EB7645" w:rsidRPr="00BE00C7" w:rsidP="00BE00C7">
            <w:pPr>
              <w:pStyle w:val="OutcomeDescription"/>
              <w:spacing w:before="120" w:after="120"/>
              <w:rPr>
                <w:rFonts w:cs="Arial"/>
                <w:b w:val="0"/>
                <w:lang w:eastAsia="en-NZ"/>
              </w:rPr>
            </w:pPr>
            <w:r w:rsidRPr="00BE00C7">
              <w:rPr>
                <w:rFonts w:cs="Arial"/>
                <w:b w:val="0"/>
                <w:lang w:eastAsia="en-NZ"/>
              </w:rPr>
              <w:t>Restraints are authorised following a comprehensive assessment of the resident. The approval includes consultation with other members of the multidisciplinary team. The restraint consent forms evidenced consent for restraint is obtained from the GP, restraint coordinator and the resident and/or a family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 is completed prior to commencement of any restraint. The clinical files of residents using restraint evidenced the restraint assessment authorisation and plans were in place. Restraint assessments evidence all appropriate factors have been taken into consideration.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Protocols on safe use of restraint detail the processes of assessment, approval and implementation and these guide staff in the safe use of restraint. Strategies are implemented prior to the use of restraint to prevent the resident from incurring injury for example: the use of low beds; mattresses and sensor mats. The policies that guide staff in the safe use of restraint document: the current approved forms of restraint; the indications for use; associated risks; safety precautions; and required authorisation, reporting and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in restraint use is conducted at orientation and through the ongoing education sessions. Evidence of ongoing education regarding restraint and challenging behaviours was sighted. Restraint competency testing of staff is included in the education of staff.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up to date and records all necessary information to provide an auditable trail of restraint events.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are responsible for monitoring and completing restraint forms when the restraint is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restraint occurs through restraint event reporting by the facility to the Oceania support office measuring relevant clinical key performance indicators. Each individual episode of restraint is evaluated. The clinical files of residents using restraint evidenced the restraint evaluation forms were completed and included all relevant factors in this standard. The resident (if able) and the family are involved in the evaluation of the restraints’ effectiveness and continuity at the multidisciplinary meetings.</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team meeting minutes evidence evaluation of each restraint use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monitoring and quality review of the use of restraint at the facility. The restraint minimisation team meeting minutes evidenced review of the compliance with the standard. </w:t>
            </w:r>
          </w:p>
          <w:p w:rsidR="00EB7645" w:rsidRPr="00BE00C7" w:rsidP="00BE00C7">
            <w:pPr>
              <w:pStyle w:val="OutcomeDescription"/>
              <w:spacing w:before="120" w:after="120"/>
              <w:rPr>
                <w:rFonts w:cs="Arial"/>
                <w:b w:val="0"/>
                <w:lang w:eastAsia="en-NZ"/>
              </w:rPr>
            </w:pPr>
            <w:r w:rsidRPr="00BE00C7">
              <w:rPr>
                <w:rFonts w:cs="Arial"/>
                <w:b w:val="0"/>
                <w:lang w:eastAsia="en-NZ"/>
              </w:rPr>
              <w:t>Oceania national restraint authority group meet annually to review the compliance with the restraint standard and review of restraint use nationally. National restraint benchmarking and analysis results indicated there has been reduction in restraint use nationally due to use of low/low beds and the use of perimeter mattress surrounds.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8"/>
        <w:gridCol w:w="1280"/>
        <w:gridCol w:w="6897"/>
        <w:gridCol w:w="1592"/>
        <w:gridCol w:w="18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initial care plans are completed on admission. Assessments are completed and recorded on the residents’ long term care plans. Long term care plans record all the residents’ needs, goals, required assistance and interventions. There was evidence that four of the 12 long term care plans were not completed within the three week timeframe post admission to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plans are not consistently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long term care plans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evidenced evaluations are completed, however the documentation of the degree of response/progress to meeting a desired outcome was not consistently recorded. Review of five residents’ files of residents requiring care plan evaluation was conducted (seven resident’s files did not require evaluation as the admissions of those residents were within last six months). Four additional residents’ files were reviewed specifically in relation to evaluation of care indicating the degree of achievement to interventions and evidenced eight of the nine files did not have this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 evaluations do not consistently record the evaluations were conducted in a comprehensive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evaluations of long term care plans are recorded in a comprehensive manner to indicate the degree of achievement to interventions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Elmwood Rest Home and Village</w:t>
    </w:r>
    <w:bookmarkEnd w:id="58"/>
    <w:r>
      <w:rPr>
        <w:rFonts w:cs="Arial"/>
        <w:sz w:val="16"/>
        <w:szCs w:val="20"/>
      </w:rPr>
      <w:tab/>
      <w:t xml:space="preserve">Date of Audit: </w:t>
    </w:r>
    <w:bookmarkStart w:id="59" w:name="AuditStartDate1"/>
    <w:r>
      <w:rPr>
        <w:rFonts w:cs="Arial"/>
        <w:sz w:val="16"/>
        <w:szCs w:val="20"/>
      </w:rPr>
      <w:t>2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