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Josephs Home of Compassion Heretaunga Limited - St Josephs Home of Compassion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Josephs Home of Compassion Heretaunga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Josephs Home of Compassion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August 2016</w:t>
      </w:r>
      <w:bookmarkEnd w:id="7"/>
      <w:r w:rsidRPr="009418D4">
        <w:rPr>
          <w:rFonts w:cs="Arial"/>
        </w:rPr>
        <w:tab/>
        <w:t xml:space="preserve">End date: </w:t>
      </w:r>
      <w:bookmarkStart w:id="8" w:name="AuditEndDate"/>
      <w:r w:rsidR="00A4268A">
        <w:rPr>
          <w:rFonts w:cs="Arial"/>
        </w:rPr>
        <w:t>16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Add medical level care to their current hospital certification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Joseph’s Home of Compassion is owned and operated by The Sisters of Compassion and overseen by a board of directors.  The facility is certified to provide rest home, hospital level (geriatric) and dementia level care for up to 88 residents.  This audit also included verifying the service as suitable to provide medical level care under their current hospital certification.  </w:t>
      </w:r>
    </w:p>
    <w:p w:rsidRPr="00A4268A">
      <w:pPr>
        <w:spacing w:before="240" w:line="276" w:lineRule="auto"/>
        <w:rPr>
          <w:rFonts w:eastAsia="Calibri"/>
        </w:rPr>
      </w:pPr>
      <w:r w:rsidRPr="00A4268A">
        <w:rPr>
          <w:rFonts w:eastAsia="Calibri"/>
        </w:rPr>
        <w:t>The manager is a registered nurse both management and aged care experience.  She is supported by an assistant manager/ clinical manager who is a senior registered nurse.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is commended for achieving continued improvement ratings around pastoral care, good practice, quality programme, restraint minmisation and infection surveillance.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required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clinical manager and senior registered nurse are responsible for the day-to-day operations.  Goals are documented for the service with evidence of regular reviews.  A quality and risk management programme is embedded.  Data is collected, analysed and discussed and changes made as a result of trend analysis.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on all services and levels of care provided at St Joseph’s Home of Compassion.  The registered nurses are responsible for each stage of service provision.  A registered nurse assesses and develops the care plan with the resident and/or family/whānau input.  Care plans viewed in resident records demonstrated service integration and were reviewed at least six monthly.  Resident files included the general practitioner, specialist and allied health notes.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administration of medicines and complete annual education and medication competencies.  The medicine charts reviewed meet prescribing requirements and were reviewed at least three monthly.     </w:t>
      </w:r>
    </w:p>
    <w:p w:rsidRPr="00A4268A" w:rsidP="00621629">
      <w:pPr>
        <w:spacing w:before="240" w:line="276" w:lineRule="auto"/>
        <w:rPr>
          <w:rFonts w:eastAsia="Calibri"/>
        </w:rPr>
      </w:pPr>
      <w:r w:rsidRPr="00A4268A">
        <w:rPr>
          <w:rFonts w:eastAsia="Calibri"/>
        </w:rPr>
        <w:t xml:space="preserve">A diversional therapist oversees the activity team and coordinates the activity programme for the rest home, hospital and dementia level of care residents.  The programme includes community visitors and outings, entertainment and activities that meet the individual recreational, physical, cultural and cognitive abilities and preferences for each resident group.  Residents and families report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Chemicals are stored safely throughout the facility.  The building holds a current warrant of fitness.  Residents can freely mobilise within the communal areas with safe access to the outdoors, seating and shade.  Resident bedrooms are personalised with ensuites or access to communal facilities.  Documented policies and procedures for the cleaning and laundry services are implemented with appropriate monitoring systems in place to evaluate the effectiveness of these services.  Systems and supplies are in place for essential, emergency and security services.  All registered nurses hold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A register is maintained by the restraint coordinator.  On the days of audit, five residents were using restraints and one resident was using enablers.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4</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5</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35"/>
        <w:gridCol w:w="1280"/>
        <w:gridCol w:w="86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Joseph’s Home of Compassion (St Josephs)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care staff (four caregivers, two registered nurses (RNs) and two activities staff) confirmed their understanding of the Code.  Seven residents (four rest home level and three hospital level) and seven relatives (two dementia, two rest home and three hospital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including photographs were obtained on admission and sighted in nine of nine resident files reviewed (four hospital including one younger person, three rest home residents including one respite care resident and two dementia level of care residents).  Advance directives for continuing care (where appropriate) were completed and on the resident files.  Resuscitation plans were sighted in all files and were signed appropriately.  Copies of EPOA were present in resident files.  The EPOA of two dementia care residents had been activated.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caregivers and registered nurses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sampled had signed admission agreements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Staff and residents identify the chaplain and pastoral care coordinator as an advocate.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includes written and verbal complaints, dates and actions taken.  Complaints are being managed in a timely manner meeting requirements determined by the Health and Disability Commissioner (HDC).  There is evidence of lodged complaints being discussed in management and staff meetings.  All complaints received have been documented as resolved with appropriate corrective actions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 information pack for the dementia unit includes dementia specific information.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service confirmed they support personal privacy for residents.  During the audit, staff were observed to be respectful of residents’ privacy.  Staff could describe definitions around abuse and neglect that aligned with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includes its Christian ethos, promotes quality of life and involves residents in decisions about their care.  Resident preferences are identified during the admission and care planning process and this includes family involvement.  Interviews with residents confirmed their values and beliefs were considered.  Interviews with caregivers described how choice is incorporated into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for the organisation references local Māori healthcare providers regionally within New Zealand and provides recognition of Māori values and beliefs.  Family/whānau involvement is encouraged in assessment and care planning, and visiting is encouraged.  Links are established with disability and other community representative groups as requested by the resident/family.  Cultural needs are addressed in the care plan.  At the time of audit, there was one resident who identified as Māori. This was reflected in the care plan as well as the resident not wishing any special cultural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two monthly staff meetings and monthly clinical based meetings include discussions around professional boundaries and concerns as they arise.  Management provides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in-service training programme is implemented as per the training plan with training for registered nurses from the DHB.  The service benchmarks with other services and analyses data to identify opportunities to improve resident outcomes.  Feedback is provided to staff via the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two registered nurses on each shift and caregivers are described by residents and family as being caring and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initiatives since the previous audit have included: </w:t>
            </w:r>
          </w:p>
          <w:p w:rsidR="00EB7645" w:rsidRPr="00BE00C7" w:rsidP="00BE00C7">
            <w:pPr>
              <w:pStyle w:val="OutcomeDescription"/>
              <w:spacing w:before="120" w:after="120"/>
              <w:rPr>
                <w:rFonts w:cs="Arial"/>
                <w:b w:val="0"/>
                <w:lang w:eastAsia="en-NZ"/>
              </w:rPr>
            </w:pPr>
            <w:r w:rsidRPr="00BE00C7">
              <w:rPr>
                <w:rFonts w:cs="Arial"/>
                <w:b w:val="0"/>
                <w:lang w:eastAsia="en-NZ"/>
              </w:rPr>
              <w:t>1) The development of resident information pamphlet around pain management.  Families and the residents have indicated that they now have a clearer idea of medication and treatment.  They understand why a particular medication may be used and the likely changes that could occur in the future.  This allows them to make a more informed decision on use of these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development of a leadership programme for registered nurses.  This in-depth programme has been attended by all the registered nurses.  It was developed by the organisation following a review of adverse events and analysis of causes.  The service reports that the registered nurses are using the skills they had learnt and were more confident in their dealings with the caregivers and with managing their roles.  Link to falls reduction and pressure injury reduction – (1.2.3.6) and reduction in infections (3.5.7).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to guide staff in their responsibility around open disclosure.  Staff are required to record family notification when entering an incident into the system.  All 13 adverse events reviewed met this requirement.  Family members interviewed confirmed they are notified following a change of health status of their family member.  There is an interpreter policy in place and contact details of interpreters were available.  The service has set up Wi-Fi in a small lounge for residents and families to use.  Families interviewed were very positive regarding this initiative.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Joseph’s Home of Compassion is owned and operated by The Sisters of Compassion and overseen by a board of directors.  The facility is certified to provide rest home, hospital level (geriatric) and dementia care for up to 88 residents.  This audit also included verifying the service as suitable to provide ‘medical’ level care under their current hospital certification.  The service has links to allied health including physiotherapist.  There is sufficient space in resident rooms, appropriate equipment is available and staff are trained around current medical conditions.</w:t>
            </w:r>
          </w:p>
          <w:p w:rsidR="00EB7645" w:rsidRPr="00BE00C7" w:rsidP="00BE00C7">
            <w:pPr>
              <w:pStyle w:val="OutcomeDescription"/>
              <w:spacing w:before="120" w:after="120"/>
              <w:rPr>
                <w:rFonts w:cs="Arial"/>
                <w:b w:val="0"/>
                <w:lang w:eastAsia="en-NZ"/>
              </w:rPr>
            </w:pPr>
            <w:r w:rsidRPr="00BE00C7">
              <w:rPr>
                <w:rFonts w:cs="Arial"/>
                <w:b w:val="0"/>
                <w:lang w:eastAsia="en-NZ"/>
              </w:rPr>
              <w:t>There were 86 residents during this audit, including one on a younger person with disability (YPD) contract and two respite residents.  All other residents were on the Aged Related Care contract.  The service has 72 dual-purpose beds in the rest home/hospital wing.  There were 44 residents at hospital level (including the YPD resident) 26  residents’ at rest home level (including two respite residents and 16 residents at dementia level).</w:t>
            </w:r>
          </w:p>
          <w:p w:rsidR="00EB7645" w:rsidRPr="00BE00C7" w:rsidP="00BE00C7">
            <w:pPr>
              <w:pStyle w:val="OutcomeDescription"/>
              <w:spacing w:before="120" w:after="120"/>
              <w:rPr>
                <w:rFonts w:cs="Arial"/>
                <w:b w:val="0"/>
                <w:lang w:eastAsia="en-NZ"/>
              </w:rPr>
            </w:pPr>
            <w:r w:rsidRPr="00BE00C7">
              <w:rPr>
                <w:rFonts w:cs="Arial"/>
                <w:b w:val="0"/>
                <w:lang w:eastAsia="en-NZ"/>
              </w:rPr>
              <w:t>The strategic plan 2016 to 2020 and the 2016 quality plan document organisational goals and describes the vision, values and objectives of the service.  Annual goals are linked to the business plan and reflect regular reviews.</w:t>
            </w:r>
          </w:p>
          <w:p w:rsidR="00EB7645" w:rsidRPr="00BE00C7" w:rsidP="00BE00C7">
            <w:pPr>
              <w:pStyle w:val="OutcomeDescription"/>
              <w:spacing w:before="120" w:after="120"/>
              <w:rPr>
                <w:rFonts w:cs="Arial"/>
                <w:b w:val="0"/>
                <w:lang w:eastAsia="en-NZ"/>
              </w:rPr>
            </w:pPr>
            <w:r w:rsidRPr="00BE00C7">
              <w:rPr>
                <w:rFonts w:cs="Arial"/>
                <w:b w:val="0"/>
                <w:lang w:eastAsia="en-NZ"/>
              </w:rPr>
              <w:t>The manager oversees the service; she has managed the service for 15 years.  The manager is supported by the assistant manager /clinical manager and two clinical lead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assistant manager have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assistant manager and senior registered nurse covers during the temporary absence of the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implement a comprehensive quality and risk management system that is well embedded into practice.  Quality and risk performance is reported across facility meetings.  Discussions with the staff (the manager, assistant manager, care leads and registered nurse) reflected staff involvement in quality and risk management processes. Review of meeting minutes/quality initiatives and analysis, demonstrates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and relative surveys are completed with results communicated to residents and staff.  Survey results reflect very high levels of satisfaction.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which is utilised for service improvements.  Key performance areas are benchmarked against other services.  Quality improvement plans are developed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identification and meeting of individual needs and mattress perimeter guards.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13 incident/accident forms identified that forms are fully completed and include follow-up by a registered nurse.  Neurological observations are completed for any suspected injury to the head. The registered nurses are involved in the adverse event process.  There is a debriefing process for all critical incidents that includes a staff debrief and a review of the incident.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was able to identify situations that would be reported to statutory authorities including (but not limited to) infectious diseases, serious accidents and unexpected death.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to support recruitment, orientation and staff management.  Nine staff files reviewed (two registered nurse team leaders, two registered nurses, the activities coordinator and four caregivers), all  included a comprehensive recruitment process which included reference checking, signed employment contracts and job descriptions; completed orientation programmes and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Most training is provided during full day training sessions with additional training provided as needed and incidental training is provided according to identified need and at staff request.  There is an attendance register for each training session and an individual staff member record of training.  All caregivers who work in the dementia unit have completed the required dementia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There are implemented competencies for registered nurses including (but not limited to) medication competencies, restraint competencies, controlled drug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home provides palliative care services and works closely with Te Omanga Hospice.  Palliative care training is provided to staff.</w:t>
            </w:r>
          </w:p>
          <w:p w:rsidR="00EB7645" w:rsidRPr="00BE00C7" w:rsidP="00BE00C7">
            <w:pPr>
              <w:pStyle w:val="OutcomeDescription"/>
              <w:spacing w:before="120" w:after="120"/>
              <w:rPr>
                <w:rFonts w:cs="Arial"/>
                <w:b w:val="0"/>
                <w:lang w:eastAsia="en-NZ"/>
              </w:rPr>
            </w:pPr>
            <w:r w:rsidRPr="00BE00C7">
              <w:rPr>
                <w:rFonts w:cs="Arial"/>
                <w:b w:val="0"/>
                <w:lang w:eastAsia="en-NZ"/>
              </w:rPr>
              <w:t>A planned leadership programme has been run for the registered nurses and the benefits of this are shown in improved outcomes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were attending to call bells in a timely manner as confirmed by all residents interviewed.  Staff interviewed stated that overall the staffing levels are satisfactory and that the managers provide good support.  Residents and family members interviewed report there are sufficient staff numbers.</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at St Josephs have ensured a high level of clinical supervision across all areas.  The assistant manager works Monday to Friday plus on call and the RN manager is also available as needed. The roster allows for an additional clinical lead RN during the AM shift Monday to Sunday.  There is also a RN ‘float’ nurse Monday to Friday.   The service employs an RN nurse educator 16 hours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has two RNs for the AM shift and two for the PM shift who each take responsibility for the rest home and dementia units (as well as the hospital residents).  One RN is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Caregivers are rostered to each of the hospital, dementia and rest home units.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Entries are legible, dated and signed by the relevant caregiver or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Families and prospective residents are invited to visit the complex, even before confirming admission.  Pre-admission information packs including information on the dementia care service is provided for families and residents prior to or on admission.  Nine admission agreements for residents were signed and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Registered nurses who administer medications have been assessed for competency on an annual basis.  Registered nurses complete syringe driver training.  Education around safe medication administration has been provided.  Caregivers on nightshift have completed medication competency to check medications.  Standing orders were current and used for hospital level residents.  There were no residents self-medicating on the day of audit.  All medications are stored safely.  All eye drops are dated on opening.  The medication fridge is monitored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18 medication charts reviewed (eight hospital, six rest home and four dementia care) met legislative prescribing requirements.  The GP has reviewed the medication charts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St Joseph’s Home of Compassion are prepared and cooked on site by qualified cooks.  The cooks are supported by morning and afternoon kitchenhands.  All staff have attended food safety and hygiene training.  There is a six weekly seasonal menu, which had been reviewed by a dietitian.  Meals are transported in bain-maries and served from the kitchenette in rest home, hospital and dementia care kitchenettes.  Dietary needs are known with individual likes and dislikes accommodated.  Dietary requirements, cultural and religious food preferences are met.  Additional or modified foods are also provided by the service.  Special diets include gluten free, vegetarian and low fat/low salt.  Dislikes are accommodated.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in the hospital and rest home dining room.  Resident meetings and surveys, along with direct input from residents, provide resident feedback on the meals and food services.  Residents and family members interviewed were satisfied with the food and confirmed alternative food choices were offered for dislikes.  There are nutritious snacks available in the dementia unit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end-cooked temperatures are monitored daily.  A kitchen cleaning schedule is in place and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were unable to provide the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An InterRAI assessment is undertaken within 21 days of admission and six monthly, or earlier due to health changes.  Resident needs and supports are identified through the ongoing assessment process in consultation with significant others.  InterRAI assessments, assessment notes and summary were in place for all resident files sampled.  The long-term care plans in place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lifestyle plans reviewed were resident-focused and individualised.  Overall, identified support needs were included in the care plans for all resident’s files reviewed.  A short-term care plan was in place for the respite care resident.  The two files of residents in the dementia care unit contained a 24-hour behaviour management plan.  Care plans evidenced resident (as appropriate) and family/whānau involvement in the care plan process.  Relatives interviewed confirmed they were involved in the care planning process.  Resident files demonstrate service integration and evidence of allied health care professionals involved in the care of the resident such as the physiotherapist, hospice service, pain management team and 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place for short-term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were in place for all current wounds and skin tears.  There was one pressure injury on the day of audit.  There is a range of equipment readily available to minimise pressure injuries.  Chronic wounds have been linked to the long-term lifestyle plans.  There was evidence of wound nurse specialist involvement in the management of the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blood glucose, and pain, challenging behaviour, wounds restraint, continence and two hourly positioning.  Registered nurses review the monitoring charts and report identified concerns to the GP, nurse practitioner or nurse specialist.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qualified diversional therapist (DT) who oversees two recreation officers (both are currently completing the DT qualification).  The activity team provide an integrated rest home and hospital activity plan Monday to Friday.  There is a separate activity programme for residents in the dementia care unit.  There are organized activities and other activities initiated by the caregivers in the weekends.  Activities are held in several locations within the facility including the activity room.  A variety of activities meets the abilities of all residents.  A massage therapist is employed eight hours a week and spends one-on-one time with residents who choose not to join in group activity or are unable to participate in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Volunteers involved in the activity programme include retired Priests and Sisters, secondary school students, kindergarten children, pet therapy owners and community speakers.  Entertainers attend the home regularly and there are regular outings and drives for all residents.  Residents are supported to attend religious services including daily mass in the on-site chapel.  Residents are encouraged to maintain links with the community and include, card groups, Cossie club, Catholic Women’s League, Tai Chi and mobile library service.  Special events and festivities are celebrated and families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team member provides an afternoon programme from 1 - 4pm in the dementia care unit (observed on the day of audit).  Caregivers in the dementia unit facilitate small group or individual activities at other times.  There are adequate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plan is completed on admission in consultation with the resident/family (as appropriate) and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have the opportunity to feedback on the activity programme through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Long-term lifestyle plans have been reviewed at least six monthly or earlier for any health changes.  The written evaluation documents the resident’s progress against identified goals.  The GP reviews the residents at least three monthly or earlier if required.  The multidisciplinary team includes the clinical leader, DT, physiotherapist, pastoral carer, resident/relative and any other allied health professional involved in the care of the resident.  Ongoing nursing evaluations occur as indicated and are documented within the progress notes.  Changes are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Safety data sheets are readily accessible for staff.  Chemical bottles sighted have correct manufacturer labels.  Chemicals are stored in locked areas throughout the facility.  Personal protective clothing is available for staff and seen to be worn by staff when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19 February 2017.   </w:t>
            </w:r>
          </w:p>
          <w:p w:rsidR="00EB7645" w:rsidRPr="00BE00C7" w:rsidP="00BE00C7">
            <w:pPr>
              <w:pStyle w:val="OutcomeDescription"/>
              <w:spacing w:before="120" w:after="120"/>
              <w:rPr>
                <w:rFonts w:cs="Arial"/>
                <w:b w:val="0"/>
                <w:lang w:eastAsia="en-NZ"/>
              </w:rPr>
            </w:pPr>
            <w:r w:rsidRPr="00BE00C7">
              <w:rPr>
                <w:rFonts w:cs="Arial"/>
                <w:b w:val="0"/>
                <w:lang w:eastAsia="en-NZ"/>
              </w:rPr>
              <w:t>The full-time maintenance person ensures daily maintenance requests are addressed and a planned maintenance schedule is maintained.  Monthly inspections include call bell testing and hot water temperature monitoring.  Temperature recordings reviewed were between 43-45 degrees Celsius.  Essential contractors are available 24 hours.  Electrical testing is completed annually.  An external contractor completes annual calibration and functional checks of medical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handrails and sufficient space for residents to safely mobilise using mobility aids. There is to safe access the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has exit and entry points to the safe outdoor courtyards, which provide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 and shower facilities are of an appropriate design to meet the needs of the residents.  The resident rooms in the newer rest home wing and dementia unit have ensuites.  In the hospital wing, there is a mix of resident rooms with and without ensuites.  There are adequate numbers of communal toilets and shower rooms.  Communal toilet facilities have a system that indicates if it is engaged or vacant.  There is a large bathroom with a bath.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single.  There is adequate room to safely manoeuvre mobility aids and transferring equipment such as hoists in the resident bedrooms.  Residents and families are encouraged to personalise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separate rest home and hospital dining rooms, main lounge and smaller lounges and conservatories.  There are seating alcoves throughout the facility.  Seating and space is arranged to allow both individual and group activities to occur.  The service developed a smaller lounge into a quieter lounge with skype and email availability.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dining room and two lounge areas in the dementia unit.  The outlook from the dementia unit provides an open view over sport grounds.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are dedicated laundry and cleaning staff seven days a week.  All linen and personal clothing is laundered on-site.  Residents and family interviewed reported satisfaction with the cleaning and laundry service.  Internal audits monitor the effectiveness of the cleaning and laundry processes.  The cleaner’s trolleys are kept in designated locked areas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and ongoing.  Civil defence supplies are readily available including tank water situated outside of the kitchen with tap access within the kitchen area.  This provides for a further 50,000 litres of water. There is a civil defence food storage cupboard with at least three days in the event of an emergency.  There is a generator for backup power that maintains full running of all services including laundry, call bells and lighting throughout the facility during power failures.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scheme was approved by the fire service 25 February 2015 following the opening of the new wing.  Six monthly fire drills have occurred.  Fire safety is completed with new staff as part of the health and safety induction and is ongoing as part of the education plan.  There is a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Security policies and procedures are documented and implemented by staff.  The buildings are secure at night after hours with doorbell access.  All external doors are alarmed to the call bell system, which is linked to staff pagers.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There are sufficient doors and opening windows for ventilation.  All bedrooms have good-sized windows, which allow plenty of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Joseph’s Home of Compassion has an established infection control programme.  The infection control programme, its content and detail, is appropriate for the size, complexity and degree of risk associated with the service.  A registered nurse is the designated infection control nurse with support from the care lead and all staff through the registered nurse meeting acting as the infection control team.  Audits have been conducted and include hand hygiene and infection control practices.  Education is provided for all new staff on orientation.  The infection control programme has been reviewed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(IC) nurse.  There are adequate resources to implement the infection control programme for the size and complexity of the organisation.  The IC nurse and IC team (the registered nurses meeting) has good external support from the local laboratory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management team, the RN and IC coordinator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at the DHB.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based on signs and symptoms of infection.  Surveillance of all infections is entered onto a monthly infection summary.  This data is monitored and evaluated monthly and annually.  Infections are part of the key performance indicators.  Outcomes and actions are discussed at quality/staff meetings and registered nurse meetings.  Benchmarking is undertaken with an external provider.  Reports are easily accessible to the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using an enabler (a bedrail) and five residents with restraints (two bedrails, and three lap belts)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(the senior registered nurse)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Three hospital-level residents’ files where restraint was in use were selected for review.  The completed assessment considered those listed in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GP.  The use of restraint is linked to the residents’ care plans.  Internal restraint audits measure staff compliance in following restraint procedures.  Each episode of restraint is monitored at pre-determined intervals depending on individual risk to that resident.  Monitoring is documented on a specific restraint monitoring form, evidenced in three resident files where restraint was being used.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monthly and restraint use is discussed monthly at both registered nurse and staff/quality meetings.  A review of three resident files identified that evaluations were up-to-date.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and facility are proactive in minimising restraint usage.  Restraints are monitored throughout each shift by clinical staff. Restraint numbers are collected each month and collated by our clinical committee bi-monthly.  This data is also sent for benchmarking against other facilities across new Zealand and Australia.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18"/>
        <w:gridCol w:w="1280"/>
        <w:gridCol w:w="3230"/>
        <w:gridCol w:w="40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1.1.3.2</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that are responsive to the needs, values, and beliefs of the cultural, religious, social, and/or ethnic group with which each consumer identifies.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services that are individualised and focus on dignity and respect.  St Joseph’s provides an extensive pastoral care programme to ensure the needs of residents are met.  Following feedback from resident’s staff and families, a number of initiatives have been implemented and exceed the required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Home employs a Pastoral Care Coordinator who works 20 hours a week as well as a Chaplain who is available to residents and families when needed seven days a week.  The coordinator ensures that religious services are provided in-keeping with the service’s philosophy including; Mass - offered every day and the anointing of the sick is offered once a month, visiting Ministers from other religions are organised as needed, Ecumenical prayer services are offered every Friday, Anglican services offered monthly and as the need dictates.</w:t>
            </w:r>
          </w:p>
          <w:p w:rsidR="00EB7645" w:rsidRPr="00BE00C7" w:rsidP="00BE00C7">
            <w:pPr>
              <w:pStyle w:val="OutcomeDescription"/>
              <w:spacing w:before="120" w:after="120"/>
              <w:rPr>
                <w:rFonts w:cs="Arial"/>
                <w:b w:val="0"/>
                <w:lang w:eastAsia="en-NZ"/>
              </w:rPr>
            </w:pPr>
            <w:r w:rsidRPr="00BE00C7">
              <w:rPr>
                <w:rFonts w:cs="Arial"/>
                <w:b w:val="0"/>
                <w:lang w:eastAsia="en-NZ"/>
              </w:rPr>
              <w:t>The pastoral care coordinator also visits with residents on a one-to-one basis and visits residents who are in the public hospital.</w:t>
            </w:r>
          </w:p>
          <w:p w:rsidR="00EB7645" w:rsidRPr="00BE00C7" w:rsidP="00BE00C7">
            <w:pPr>
              <w:pStyle w:val="OutcomeDescription"/>
              <w:spacing w:before="120" w:after="120"/>
              <w:rPr>
                <w:rFonts w:cs="Arial"/>
                <w:b w:val="0"/>
                <w:lang w:eastAsia="en-NZ"/>
              </w:rPr>
            </w:pPr>
            <w:r w:rsidRPr="00BE00C7">
              <w:rPr>
                <w:rFonts w:cs="Arial"/>
                <w:b w:val="0"/>
                <w:lang w:eastAsia="en-NZ"/>
              </w:rPr>
              <w:t>Care of the deceased and their families includes when the funeral directors arrive to collect a deceased resident, staff, residents and families that are at the facility are invited to the entry/exit area to farewell the person.  The Pastoral Care Coordinator attends funerals to support families and follows up with them after a few weeks to see if they need bereavement support.  A card is sent on the first anniversary of a resident’s death and this is very much appreciated from families.  A memorial service is run every year and families are invited to attend.  Families interviewed were very appreciative of the service and memorial services are very well attended.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rating that service provides an environment that encourages good practice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 Josephs provides examples of continuous improvement and have a goal to continually improve the service provided to residents and their families.  Staff, families and management are encouraged to provide suggestions and ideas that could improve resident’s lives.  Ideas are actively sought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Examples include;.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objective of improving communication for residents, families and the services.  To assist this, the service has set up Wi-Fi set up in a small lounge for residents and families to use.  Families interviewed were very positive regarding this initiative</w:t>
            </w:r>
          </w:p>
          <w:p w:rsidR="00EB7645" w:rsidRPr="00BE00C7" w:rsidP="00BE00C7">
            <w:pPr>
              <w:pStyle w:val="OutcomeDescription"/>
              <w:spacing w:before="120" w:after="120"/>
              <w:rPr>
                <w:rFonts w:cs="Arial"/>
                <w:b w:val="0"/>
                <w:lang w:eastAsia="en-NZ"/>
              </w:rPr>
            </w:pPr>
            <w:r w:rsidRPr="00BE00C7">
              <w:rPr>
                <w:rFonts w:cs="Arial"/>
                <w:b w:val="0"/>
                <w:lang w:eastAsia="en-NZ"/>
              </w:rPr>
              <w:t>The development of resident information pamphlet around pain management.  Families and the residents have indicated that they now have a clearer idea of medication and treatment.  They understand why a particular medication may be used and the likely changes that could occur in the future.  This allows them to make a more informed decision on use of these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development of a leadership programme for registered nurses.  This in-depth programme has been attended by all the registered nurses.  It was developed by the organisation following a review of adverse events and analysis of causes.  The service reports that the registered nurses are using the skills they had learnt and were more confident in their dealings with the caregivers and with managing their roles.  Link to falls reduction and pressure injury reduction – (1.2.3.6) and reduction in infections (3.5.7).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 overall quality improvement initiatives at the facility already high survey outcomes continue.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quality and risk management process in place.  Monitoring in each area is completed monthly, quarterly, six monthly or annually as designated by the internal auditing programme schedule.</w:t>
            </w:r>
          </w:p>
          <w:p w:rsidR="00EB7645" w:rsidRPr="00BE00C7" w:rsidP="00BE00C7">
            <w:pPr>
              <w:pStyle w:val="OutcomeDescription"/>
              <w:spacing w:before="120" w:after="120"/>
              <w:rPr>
                <w:rFonts w:cs="Arial"/>
                <w:b w:val="0"/>
                <w:lang w:eastAsia="en-NZ"/>
              </w:rPr>
            </w:pPr>
            <w:r w:rsidRPr="00BE00C7">
              <w:rPr>
                <w:rFonts w:cs="Arial"/>
                <w:b w:val="0"/>
                <w:lang w:eastAsia="en-NZ"/>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EB7645" w:rsidRPr="00BE00C7" w:rsidP="00BE00C7">
            <w:pPr>
              <w:pStyle w:val="OutcomeDescription"/>
              <w:spacing w:before="120" w:after="120"/>
              <w:rPr>
                <w:rFonts w:cs="Arial"/>
                <w:b w:val="0"/>
                <w:lang w:eastAsia="en-NZ"/>
              </w:rPr>
            </w:pPr>
            <w:r w:rsidRPr="00BE00C7">
              <w:rPr>
                <w:rFonts w:cs="Arial"/>
                <w:b w:val="0"/>
                <w:lang w:eastAsia="en-NZ"/>
              </w:rPr>
              <w:t>Benchmarking reports are generated throughout the year to review performance over a 12-month period.</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number of ongoing quality improvements identified through meeting minutes and as a result of analysis of quality data collected.  The service is proactive in developing and implementing quality initiatives.  All meetings include excellent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active in analysing data collected monthly, around accidents and incidents, infection control, restraint etc.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recording of accidents and incidents from September 2015 showed an uncharacteristic upward trend in pressure injuries.  This upward trend began in May 2015 with six pressure injuries recorded.  Skin tears were noted to be high March 2015 (49 per occupied bed day), and falls high September 2015 (82 per occupied bed day).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consistently documented that these trends have been reported through the clinical team and because of this; strategies were put in place to try to reduce these.</w:t>
            </w:r>
          </w:p>
          <w:p w:rsidR="00EB7645" w:rsidRPr="00BE00C7" w:rsidP="00BE00C7">
            <w:pPr>
              <w:pStyle w:val="OutcomeDescription"/>
              <w:spacing w:before="120" w:after="120"/>
              <w:rPr>
                <w:rFonts w:cs="Arial"/>
                <w:b w:val="0"/>
                <w:lang w:eastAsia="en-NZ"/>
              </w:rPr>
            </w:pPr>
            <w:r w:rsidRPr="00BE00C7">
              <w:rPr>
                <w:rFonts w:cs="Arial"/>
                <w:b w:val="0"/>
                <w:lang w:eastAsia="en-NZ"/>
              </w:rPr>
              <w:t>On evaluation of the effectiveness of these measures, they noted a drop in skin tears (down to 26 per occupied bed day March 2016 with a steadily reducing trend), falls (down to 65 per occupied bed day March 2016 with a steadily reducing trend and pressure injuries down to one PI, March 2016).</w:t>
            </w:r>
          </w:p>
          <w:p w:rsidR="00EB7645" w:rsidRPr="00BE00C7" w:rsidP="00BE00C7">
            <w:pPr>
              <w:pStyle w:val="OutcomeDescription"/>
              <w:spacing w:before="120" w:after="120"/>
              <w:rPr>
                <w:rFonts w:cs="Arial"/>
                <w:b w:val="0"/>
                <w:lang w:eastAsia="en-NZ"/>
              </w:rPr>
            </w:pPr>
            <w:r w:rsidRPr="00BE00C7">
              <w:rPr>
                <w:rFonts w:cs="Arial"/>
                <w:b w:val="0"/>
                <w:lang w:eastAsia="en-NZ"/>
              </w:rPr>
              <w:t>The focus on the prevention and management of pressure injuries, skin tears and falls and the provision of additional training has been effective and the clinical practices are achieving successful outcomes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proactive with monitoring all infections each month.  Action plans put in place have ensured that the total infection rate continues to fall.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increase in the number of infections, with a peak of 22 in July 2015, was identified through the monthly recording and reporting on infections by the Infection Control Coordinator.  Discussions in the clinical team meetings identified reduction of infections as an area for focus.  An action plan was implemented that included training and monitoring.  Progress was monitored and discussed in the clinical team meetings.</w:t>
            </w:r>
          </w:p>
          <w:p w:rsidR="00EB7645" w:rsidRPr="00BE00C7" w:rsidP="00BE00C7">
            <w:pPr>
              <w:pStyle w:val="OutcomeDescription"/>
              <w:spacing w:before="120" w:after="120"/>
              <w:rPr>
                <w:rFonts w:cs="Arial"/>
                <w:b w:val="0"/>
                <w:lang w:eastAsia="en-NZ"/>
              </w:rPr>
            </w:pPr>
            <w:r w:rsidRPr="00BE00C7">
              <w:rPr>
                <w:rFonts w:cs="Arial"/>
                <w:b w:val="0"/>
                <w:lang w:eastAsia="en-NZ"/>
              </w:rPr>
              <w:t>Figures have improved, with the lowest number of infections reported in 2016 (there were 9 in March and 10 in both January and April).  Despite fluctuations in some categories, a sustained reduction has been achieved, even with more residents in the facility now that the new Aubert Wing is fully occupied.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team at St Joseph’s Home of Compassion remains committed to the principles of restraint minimisation. Since the last audit restraint numbers have trended downward, despite additional beds being added to the facility in May 2016.</w:t>
            </w:r>
          </w:p>
          <w:p w:rsidR="00EB7645" w:rsidRPr="00BE00C7" w:rsidP="00BE00C7">
            <w:pPr>
              <w:pStyle w:val="OutcomeDescription"/>
              <w:spacing w:before="120" w:after="120"/>
              <w:rPr>
                <w:rFonts w:cs="Arial"/>
                <w:b w:val="0"/>
                <w:lang w:eastAsia="en-NZ"/>
              </w:rPr>
            </w:pPr>
            <w:r w:rsidRPr="00BE00C7">
              <w:rPr>
                <w:rFonts w:cs="Arial"/>
                <w:b w:val="0"/>
                <w:lang w:eastAsia="en-NZ"/>
              </w:rPr>
              <w:t>A restraint approval group meeting is held annually to discuss and amend the terms of reference for restraint use in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focus on minimising restraint included (but not limited to);providing ongoing restraint education in the form of presentations, handover talks and demonstration/teaching in real time by senior staff.</w:t>
            </w:r>
          </w:p>
          <w:p w:rsidR="00EB7645" w:rsidRPr="00BE00C7" w:rsidP="00BE00C7">
            <w:pPr>
              <w:pStyle w:val="OutcomeDescription"/>
              <w:spacing w:before="120" w:after="120"/>
              <w:rPr>
                <w:rFonts w:cs="Arial"/>
                <w:b w:val="0"/>
                <w:lang w:eastAsia="en-NZ"/>
              </w:rPr>
            </w:pPr>
            <w:r w:rsidRPr="00BE00C7">
              <w:rPr>
                <w:rFonts w:cs="Arial"/>
                <w:b w:val="0"/>
                <w:lang w:eastAsia="en-NZ"/>
              </w:rPr>
              <w:t>Members of the MDT are also involved in restraint minimisation, for example recently a bedside that was used by a resident for bed mobility (enabler) was able to be discontinued after the physiotherapist worked with this resident to improve upper body strength and sitting balance. The physiotherapist and OT were then able to use an alternative option for bed mobility in the form of an overhead bar, which ended the need for restraint.</w:t>
            </w:r>
          </w:p>
          <w:p w:rsidR="00EB7645" w:rsidRPr="00BE00C7" w:rsidP="00BE00C7">
            <w:pPr>
              <w:pStyle w:val="OutcomeDescription"/>
              <w:spacing w:before="120" w:after="120"/>
              <w:rPr>
                <w:rFonts w:cs="Arial"/>
                <w:b w:val="0"/>
                <w:lang w:eastAsia="en-NZ"/>
              </w:rPr>
            </w:pPr>
            <w:r w:rsidRPr="00BE00C7">
              <w:rPr>
                <w:rFonts w:cs="Arial"/>
                <w:b w:val="0"/>
                <w:lang w:eastAsia="en-NZ"/>
              </w:rPr>
              <w:t>Staff knowledge is assessed both through the completion of restraint competencies for all clinical staff, and regular audits assessing staff knowledge and the monitoring of restraint.</w:t>
            </w:r>
          </w:p>
          <w:p w:rsidR="00EB7645" w:rsidRPr="00BE00C7" w:rsidP="00BE00C7">
            <w:pPr>
              <w:pStyle w:val="OutcomeDescription"/>
              <w:spacing w:before="120" w:after="120"/>
              <w:rPr>
                <w:rFonts w:cs="Arial"/>
                <w:b w:val="0"/>
                <w:lang w:eastAsia="en-NZ"/>
              </w:rPr>
            </w:pPr>
            <w:r w:rsidRPr="00BE00C7">
              <w:rPr>
                <w:rFonts w:cs="Arial"/>
                <w:b w:val="0"/>
                <w:lang w:eastAsia="en-NZ"/>
              </w:rPr>
              <w:t>Restraint minimisation education works hand in hand with education about falls prevention and management of challenging behaviour. Both of these topics have been the focus of education in the home and provide staff with knowledge and resources to use methods other than restraint to keep our residents safe.</w:t>
            </w:r>
          </w:p>
          <w:p w:rsidR="00EB7645" w:rsidRPr="00BE00C7" w:rsidP="00BE00C7">
            <w:pPr>
              <w:pStyle w:val="OutcomeDescription"/>
              <w:spacing w:before="120" w:after="120"/>
              <w:rPr>
                <w:rFonts w:cs="Arial"/>
                <w:b w:val="0"/>
                <w:lang w:eastAsia="en-NZ"/>
              </w:rPr>
            </w:pPr>
            <w:r w:rsidRPr="00BE00C7">
              <w:rPr>
                <w:rFonts w:cs="Arial"/>
                <w:b w:val="0"/>
                <w:lang w:eastAsia="en-NZ"/>
              </w:rPr>
              <w:t>Restraints are monitored throughout each shift by clinical staff.  Restraint numbers are collected each month and collated by the clinical committee bi-monthly. This data is also sent for benchmarking against other facilities across New Zealand and Australia.  The benchmarking results indicate over time a decrease in restraint use from 11 in 2013 to 5 currently.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Josephs Home of Compassion Heretaunga Limited - St Josephs Home of Compassion</w:t>
    </w:r>
    <w:bookmarkEnd w:id="58"/>
    <w:r>
      <w:rPr>
        <w:rFonts w:cs="Arial"/>
        <w:sz w:val="16"/>
        <w:szCs w:val="20"/>
      </w:rPr>
      <w:tab/>
      <w:t xml:space="preserve">Date of Audit: </w:t>
    </w:r>
    <w:bookmarkStart w:id="59" w:name="AuditStartDate1"/>
    <w:r>
      <w:rPr>
        <w:rFonts w:cs="Arial"/>
        <w:sz w:val="16"/>
        <w:szCs w:val="20"/>
      </w:rPr>
      <w:t>15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