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Riverside Care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Riverside Care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July 2016</w:t>
      </w:r>
      <w:bookmarkEnd w:id="7"/>
      <w:r w:rsidRPr="009418D4">
        <w:rPr>
          <w:rFonts w:cs="Arial"/>
        </w:rPr>
        <w:tab/>
        <w:t xml:space="preserve">End date: </w:t>
      </w:r>
      <w:bookmarkStart w:id="8" w:name="AuditEndDate"/>
      <w:r w:rsidR="00A4268A">
        <w:rPr>
          <w:rFonts w:cs="Arial"/>
        </w:rPr>
        <w:t>12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Riverside Home and Hospital is part of the Bupa group.  The service is certified to provide rest home, dementia and hospital (geriatric and medical) level care for up to 65 residents.  On the day of audit, there were 64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the general practitioner. </w:t>
      </w:r>
    </w:p>
    <w:p w:rsidRPr="00A4268A">
      <w:pPr>
        <w:spacing w:before="240" w:line="276" w:lineRule="auto"/>
        <w:rPr>
          <w:rFonts w:eastAsia="Calibri"/>
        </w:rPr>
      </w:pPr>
      <w:r w:rsidRPr="00A4268A">
        <w:rPr>
          <w:rFonts w:eastAsia="Calibri"/>
        </w:rPr>
        <w:t xml:space="preserve">The care home manager has been in the role since September 2001.  The clinical manager has been in the role at Riverside for the last two years who supports her.  </w:t>
      </w:r>
    </w:p>
    <w:p w:rsidRPr="00A4268A">
      <w:pPr>
        <w:spacing w:before="240" w:line="276" w:lineRule="auto"/>
        <w:rPr>
          <w:rFonts w:eastAsia="Calibri"/>
        </w:rPr>
      </w:pPr>
      <w:r w:rsidRPr="00A4268A">
        <w:rPr>
          <w:rFonts w:eastAsia="Calibri"/>
        </w:rPr>
        <w:t xml:space="preserve">Staff spoke positively about the support/direction and management of the current management team.  There are well-developed systems, processes, policies and procedures that are structured to provide appropriate quality care for people who use the service, including residents that require hospital/medical, dementia and rest home level care.  </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 xml:space="preserve">The facility has embedded the interRAI assessment protocols within its current documentation.  Bupa assessment booklets and care plans were individualised and comprehensively completed for all resident files reviewed.  ‘At risk’ residents were identified and monitoring strategies were implemented and regularly evaluated. </w:t>
      </w:r>
    </w:p>
    <w:p w:rsidRPr="00A4268A">
      <w:pPr>
        <w:spacing w:before="240" w:line="276" w:lineRule="auto"/>
        <w:rPr>
          <w:rFonts w:eastAsia="Calibri"/>
        </w:rPr>
      </w:pPr>
      <w:r w:rsidRPr="00A4268A">
        <w:rPr>
          <w:rFonts w:eastAsia="Calibri"/>
        </w:rPr>
        <w:t>The service is achieving two continual improvement ratings relating to falls reduction and infection control surveillance.</w:t>
      </w:r>
    </w:p>
    <w:p w:rsidRPr="00A4268A">
      <w:pPr>
        <w:spacing w:before="240" w:line="276" w:lineRule="auto"/>
        <w:rPr>
          <w:rFonts w:eastAsia="Calibri"/>
        </w:rPr>
      </w:pPr>
      <w:r w:rsidRPr="00A4268A">
        <w:rPr>
          <w:rFonts w:eastAsia="Calibri"/>
        </w:rPr>
        <w:t>There are improvements required around post audit action plans and security of chemicals.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Riverside ensures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care home manager and clinical manager are responsible for the day-to-day operations of the facility.  Goals are documented for the service with evidence of annual reviews.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Riverside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Interviews with staff and review of meeting minutes, quality action forms and toolbox talks, demonstrate a culture of quality improvements.</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 three-monthly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three-monthly by the general practitioner/nurse practitioner.  </w:t>
      </w:r>
    </w:p>
    <w:p w:rsidRPr="00A4268A" w:rsidP="00621629">
      <w:pPr>
        <w:spacing w:before="240" w:line="276" w:lineRule="auto"/>
        <w:rPr>
          <w:rFonts w:eastAsia="Calibri"/>
        </w:rPr>
      </w:pPr>
      <w:r w:rsidRPr="00A4268A">
        <w:rPr>
          <w:rFonts w:eastAsia="Calibri"/>
        </w:rPr>
        <w:t>An integrated activities programme is implemented for the rest home and hospital residents.  The programme includes community visitors and outings, entertainment and activities that meets the recreational preferences and abilities of the residents.</w:t>
      </w:r>
    </w:p>
    <w:p w:rsidRPr="00A4268A" w:rsidP="00621629">
      <w:pPr>
        <w:spacing w:before="240" w:line="276" w:lineRule="auto"/>
        <w:rPr>
          <w:rFonts w:eastAsia="Calibri"/>
        </w:rPr>
      </w:pPr>
      <w:r w:rsidRPr="00A4268A">
        <w:rPr>
          <w:rFonts w:eastAsia="Calibri"/>
        </w:rPr>
        <w:t>All food and baking is done on-site.  All residents' nutritional needs are identified and documented.  Choices are available and are provided.  Nutritional snacks are available over a 24-hour period.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 rooms are single,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Electrical equipment has been tested and tagged.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 service had two hospital level residents using restraint in the form of bedrails and one also used a lap belt.  There was one resident with a lap belt as an enabler.  All resident files document appropriate processes were in place.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7"/>
        <w:gridCol w:w="1280"/>
        <w:gridCol w:w="95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staff (six caregivers, four registered nurses, the clinical manager and three activity staff),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of Health and Disability Services Consumers Rights.  There are signed general consents including outings on eight of eight resident files sampled (three rest home, three hospital- including one person admitted under a young person with disability contract and two residents at dementia level of care).  Resuscitation treatment plans and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and registered nurses (RN’s)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also reviewed through the six-monthly multidisciplinary team meeting with residents and relatives and links to the quality system through annual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The service provides assistance to ensure that the residents are able to participate in as much as they can safely and desire to do.  Resident/family meetings are held monthly.  Monthly newsletters (The Riverside Rag)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facility manager maintains a record of all complaints, both verbal and written, by using a complaints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complaints received in 2016 were reviewed with evidence of appropriate follow-up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held during the resident/family meetings.  All eight residents (four rest home level and four hospital level) and eleven relatives (six hospital, three rest home and two dementia) interviewed, report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are two residents identifying as Māori living at the facility, one at hospital level and one in the dementia service.  Both had care plans and a map of life that reflected their cultural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Māori staff who are employed by the service.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7 days a week, 24 hours a day.  A house general practitioner (GP) visits the facility two days a week and a nurse practitioner visits at least two days a week.  The GP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Physiotherapy services are provided on-site, eight hours per week with the support of a physiotherapy assistant, six hours a week.  There is a regular in-service education and training programme for staff.  A podiatrist is on-site every six 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Bupa has established benchmarking groups for rest home, hospital, dementia and psychogeriatric/mental health services.  Riverside is benchmarked against the rest home, dementia and hospital data.  If the results are above the benchmark, a corrective action plan is developed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supported for all staff.  Three RNs (including the clinical manager) are currently undertaking a post-graduate certificate in Palliative care.  There are six RNs assessed as interRAI competent. InterRAI is fully implemented at Bupa Riverside. </w:t>
            </w:r>
          </w:p>
          <w:p w:rsidR="00EB7645" w:rsidRPr="00BE00C7" w:rsidP="00BE00C7">
            <w:pPr>
              <w:pStyle w:val="OutcomeDescription"/>
              <w:spacing w:before="120" w:after="120"/>
              <w:rPr>
                <w:rFonts w:cs="Arial"/>
                <w:b w:val="0"/>
                <w:lang w:eastAsia="en-NZ"/>
              </w:rPr>
            </w:pPr>
            <w:r w:rsidRPr="00BE00C7">
              <w:rPr>
                <w:rFonts w:cs="Arial"/>
                <w:b w:val="0"/>
                <w:lang w:eastAsia="en-NZ"/>
              </w:rPr>
              <w:t>Bupa Riverside has been proactive with ensuring well trained caregivers, with 100% achieving foundation skills and 10 of 27 caregivers have level three Careerforce.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supports the NetP programme and is supporting one registered nurse on this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 files including care plans and interviews with residents, relatives and registered nurses identified competent clinical oversite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Twenty-one accident/incident forms reviewed (from across the three levels of care for June 2016),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Riverside care home provide rest home, hospital and dementia care for up to 65 residents.  On the first day of the audit there were 64 residents.  There are 25 residents in the 25-bed hospital wing, 22 hospital residents including three younger person disabled and three rest home residents.  Five rooms are dual purpose.  The dementia unit was full with 19 residents.  There were 21 rest home residents in the 22 bed rest home wing, one of which was a dementia resident who slept in the rest home at night and stayed in the dementia unit during the day.  This resident has a NSAC approval for secure dementia care.  The DHB has approved this short-term boarding.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Riverside is part of the Northern two Bupa region and the managers from this region meet quarterly to review and discuss the organisational goals and their progress towards these.  The care home manager provides a monthly report to the Bupa operations manager and meets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is prepared by the care home manager and clinical manager and sent to the Bupa quality and risk team on the progress and actions that have been taken to achieve the Riverside quality goals.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implemented across its facilities.  Across Bupa, four benchmarking groups are established for rest home, hospital, dementia and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is also in place.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October 2012.  A clinical manager who has been in the role at Riverside for the last two years supports her.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manager/registered nurse (RN) who is employed full-time, supports the care home manager and steps in when the care home manager is absent.  The operations manager, who visits regularly, supports both managers.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operational plans, policies and procedures promote a safe and therapeutic focus for residents affected by the aging process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established.  Interviews with the managers and staff reflect their understanding of the quality and risk management systems.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restraint use, pressure areas, wounds and medication errors (link to 1.2.4.3 for continued improvement around the reduction of resident related clinical incidents).</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was sighted for the service, with evidence of internal audits occurring as per the audit schedule.  Quality and risk data, including trends in data and benchmarked results are discussed in registered nurse, staff and quality meetings.  Corrective actions are not always documented as implemented when service shortfalls are identified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A health and safety system is in place.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Twenty-one accident/incident forms were reviewed.  Each event involving a resident reflected a clinical assessment and follow up by a registered nurse.  Incidents are benchmarked and analysed for trends.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Eight staff files reviewed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and during this period they do not carry a clinical load.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 unit standards.  These align with Bupa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The caregivers undertake aged care education (CareerForce).  Education and training for clinical staff is linked to external education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include assessment tools, BSLs/insulin admin, CD admin, moving &amp; handling, nebuliser, oxygen admin, PEG tube care/feeds, restraint, wound management, CPR and T34 syringe driver.</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a programme so that similar topics were grouped together to increase staff attendance at training.  Training sessions of four hours were booked at different times to capture as many staff as possible.  These education sessions were advertised in the staff room, individual letters were sent to staff and text reminders were sent.</w:t>
            </w:r>
          </w:p>
          <w:p w:rsidR="00EB7645" w:rsidRPr="00BE00C7" w:rsidP="00BE00C7">
            <w:pPr>
              <w:pStyle w:val="OutcomeDescription"/>
              <w:spacing w:before="120" w:after="120"/>
              <w:rPr>
                <w:rFonts w:cs="Arial"/>
                <w:b w:val="0"/>
                <w:lang w:eastAsia="en-NZ"/>
              </w:rPr>
            </w:pPr>
            <w:r w:rsidRPr="00BE00C7">
              <w:rPr>
                <w:rFonts w:cs="Arial"/>
                <w:b w:val="0"/>
                <w:lang w:eastAsia="en-NZ"/>
              </w:rPr>
              <w:t>Staff were rostered at training according to level of experience to enable the subject to be presented at the correct level.  All training was moved off-site and staff were provided with pens and training materials.</w:t>
            </w:r>
          </w:p>
          <w:p w:rsidR="00EB7645" w:rsidRPr="00BE00C7" w:rsidP="00BE00C7">
            <w:pPr>
              <w:pStyle w:val="OutcomeDescription"/>
              <w:spacing w:before="120" w:after="120"/>
              <w:rPr>
                <w:rFonts w:cs="Arial"/>
                <w:b w:val="0"/>
                <w:lang w:eastAsia="en-NZ"/>
              </w:rPr>
            </w:pPr>
            <w:r w:rsidRPr="00BE00C7">
              <w:rPr>
                <w:rFonts w:cs="Arial"/>
                <w:b w:val="0"/>
                <w:lang w:eastAsia="en-NZ"/>
              </w:rPr>
              <w:t>On evaluation of the effectiveness of these measures, it was noted that staff attendance has risen from 15% to 40% to 92% to 95 % and staff feedback has been very positive.</w:t>
            </w:r>
          </w:p>
          <w:p w:rsidR="00EB7645" w:rsidRPr="00BE00C7" w:rsidP="00BE00C7">
            <w:pPr>
              <w:pStyle w:val="OutcomeDescription"/>
              <w:spacing w:before="120" w:after="120"/>
              <w:rPr>
                <w:rFonts w:cs="Arial"/>
                <w:b w:val="0"/>
                <w:lang w:eastAsia="en-NZ"/>
              </w:rPr>
            </w:pPr>
            <w:r w:rsidRPr="00BE00C7">
              <w:rPr>
                <w:rFonts w:cs="Arial"/>
                <w:b w:val="0"/>
                <w:lang w:eastAsia="en-NZ"/>
              </w:rPr>
              <w:t>All caregivers working in the dementia unit have completed the required dementia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clinical manager is on call after-hours with other registered nurses.  The care home manager and clinical manager are available during weekdays.  Adequate RN cover is provided 24 hours a day, 7 days a week.  Sufficient number of caregivers support the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care home manager screens all potential residents prior to entry and records all admission enquires.  Residents and relatives interviewed confirmed they received information prior to admission and had the opportunity to discuss the admission agreement with the care home manager and the clinical manager. The admission pack for dementia residents contains information relating to the management of challenging behaviours.  The admission agreement form in use aligns with the requirements of the ARRC contract.  Eight admission agreements viewed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files were sampled.  The medication management policies and procedures comply with medication legislation and guidelines.  Medicines are appropriately stored in accordance with relevant guidelines and legislation.  Resident’s medicines are stored securely in the medication room/cupboard.  Medication administration practice complies with the medication management policy for the medication rounds sighted.  Medication prescribed is signed as administered on the pharmacy generated signing chart.  Registered nurses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Medical practitioners write medication charts correctly and there was evidence of three-monthly reviews by the GP.  Two residents were self-administering their own medicines (inhalers) and the documentation was correctly recorded and competency assessments completed.  Standing orders are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oversees the food services and is supported by a kitchen hand on duty each day.  The national menus have been audited and approved by an external dietitian.  The main meal is at lunch time.  There are nutritious snacks available over the 24-hour period for residents in the serenity unit (dementia unit).  All baking and meals are cooked on-site in the main kitchen.  Plated meals are delivered to the hospital and dementia residents via hot boxes and bain-marie service is provided to the rest home.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bain-maries are monitored.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on-site food safety education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assessment booklets on admission and care plan templates were comprehensively completed for all the resident files reviewed.  InterRAI initial assessments and assessment summaries were evident in printed format in all files.  Files reviewed across the rest home, hospital and dementia services identified that risk assessments have been completed on admission and are reviewed six-monthly as part of the evaluation.  Additional assessments for management of behaviour, wound care and restraint were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very comprehensive and demonstrated service integration and input from allied health.  All resident care plans sampled were resident centred and interventions were documented in detail to cover all assessed care needs.  The care plan sampled of the resident who was admitted under the young person with disability contract, included age appropriate interventions to meet the resident’s unique needs.  The care staff reported that care plans were easy to follow and they were frequently read by all care staff.  Residents and family members interviewed confirm they are involved in the development and review of care plans.  Care plans were amended to reflect changes in health status and were reviewed on a regular basis.  Short-term care plans were in use for changes in health status and were evaluated on a regular basis and signed off as resolved or transferred to the long-term care plan.  There was evidence of service integration with documented input from a range of specialist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interventions that reflected the resident’s current needs.  The interventions also included instructions on what and how to monitor for potential changes in health condition.  When a resident’s condition changes, the RN initiates a general practitioner visit or nursing specialist referral.  Residents interviewed reported their needs were being met.  Family members interviewed stated the care and support provided exceeded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are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evaluations were in place for all wounds.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well utilised at Bupa Riverside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registered diversional therapist (DT) who oversees two other activities staff who are currently completing their diversional therapy papers.  There are recreational programmes designed for each level of service.  The residents can join in the activities in other service areas where it is appropriate to do so.  The activities programme provides individual and group activities that are meaningful and reflect ordinary patterns of life.  The monthly programme includes community outings, visiting entertainment, craft and exercise programmes.  On the day of audit, residents were observed participating in a variety of activities.  One-on-one activities are provided for residents who are unable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are responsible for the resident’s individual recreational and lifestyle plans which are developed within the first three weeks of admission.  Each resident has a map of life developed on admission which forms the basis of the activities plan.  The resident files reviewed included a section of the long-term care plan for activities.  The activities care plan for residents in the dementia unit includes activity over a 24-hour period.  Activity participation sheets were maintained in files sampled.  The resident/family/whānau, as appropriate, are involved in the development of the activity plan.  Resident files reviewed identified that the individual activity plan is reviewed as part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that are appropriate to the functional capabilities of residents.  Residents are able to provide feedback and suggestions for activities at the monthly resident meetings and annual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demonstrated that the long-term care plans were evaluated at least six-monthly or earlier if there is a change in health status.  There was at least a three-monthly review by the GP.  In the files sampled, all changes in health status were documented and followed up.  Reassessments have been completed using interRAI LTCF for all residents who have had a significant change in health status.  The RN completing the plan signs care plan reviews.  Short-term care plans sighted were evaluated and resolved or added to the long-term care plan if the problem is ongoing.  Where progress is different from expected, the service has responded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chemical/substance safety policy and waste management policy.  Management of waste and hazardous substances is covered during orientation of new staff.  Chemicals were not all stored safely on the day of audit.  Safety data sheets and product wall charts are available.  All chemicals were labelled correctly.  Approved sharps containers are available and meet the hazardous substances regulations for containers.  Gloves, aprons and goggles are available for staff at the point of use.  Infection control policies state specific tasks and duties for which protective equipment is to be worn.  Staff were observed to be wearing appropriate personal protective clothing when carrying out their duties.  There is a chemical spills kit available.  Staff have attended chemical safety training with the approved provider for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maintenance person employed to address the reactive and planned maintenance programme who works 20   hours per week.  All medical and electrical equipment was recently serviced and/or calibrated.  Hot water temperatures are monitored and managed within 43-45 degrees Celsius.  The facility has sufficient space for residents to mobilise using mobility aids.  External resident areas are well maintained.  Residents have access to safely designed external areas that have shade.  Staff stated they have sufficient equipment to safely deliver the cares as outlined in the resident care plans, including the provision of personalised equipment for the residents admitted under the young person with disability contract.  The service has a van with a hoist that is used to take residents to prearranged medical appointments and on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access to hand basins.  Not all rooms have ensuites.  There are adequate numbers of communal toilets and shower rooms.  There are communal toilets located close to communal areas in the rest home, hospital and serenity unit (dementia unit).  Toilets have privacy locks.  There is appropriate signage, easy clean flooring and fixtures and handrails appropriately placed.  Residents interviewed report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and two separate dining rooms that are shared by rest home/hospital residents.  The residents in the serenity unit (dementia unit) have an open plan dining and lounge area.  All lounge/dining rooms can accommodate the equipment required for the residents.  Activities occur throughout the facility.  Residents (as able) were observed to be moving freely with the use of mobility aids.  Furniture was well arranged to facilitate this.  Seating and space is arranged to allow both individual and group activities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laundry and cleaning staff.  All laundry and personal clothing is laundered on-site.  There are defined clean/dirty areas.  There were adequate linen supplies sighted in the facility linen-store cupboards.  Internal audits monitor the effectiveness of laundry and cleaning processes.  The cleaner’s trolleys are not always stored in locked areas when not in use (link 1.4.1.1).  The chemical provider audits the effectiveness of chemicals for laundry and cleaning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are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The specific needs of the three residents admitted under the young person with disability contract have been considered in the emergency evacuation planning.  Six-monthly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 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electrical ceiling heating in the resident’s rooms.  The bedroom temperatures can be controlled by a thermostat in each bedroom.  The communal areas have heat pumps.  All communal areas and bedrooms are well ventilated and light.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infection control coordinator is a registered nurse and she is responsible for infection control across the facility.  The committee and the Bupa governing body in conjunction with Bug Control, is responsible for the development of the infection control programme and its review.  The infection control programme is well established at Riverside.  The infection control committee consists of a cross-section of staff and there is external input as required from general practitioners, Bupa quality &amp; risk team and Bug Control.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infection control (IC) nurse has maintained best practice by attending infection control updates through Bug Control and has completed the MOH online training.  The infection control team is part of the quality committee and is representative of the facility.  External resources and support are available as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Orientation package includes specific training around hand hygiene and standard precautions.  Infection control training is regularly held, including (but not limited to): infection control (March 2016), and wound care (RN only April 2016).</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received education both in-house and by an external provider to enhance her skills and knowledge.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A number of toolbox talks have been provided including (but not limited to): preventing UTIs (link to 3.5.7 for continuous improvement for reduction of urinary tract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Monthly infection data is collected for all infections based on signs and symptoms of infection.  Surveillance of all infections is entered on to a monthly infection summary.  This data is monitored and evaluated monthly and annually and provided to Bupa Head Office for benchmarking.  Infections are part of the key performance indicators.  Outcomes and actions are discussed at quality/staff meetings.  If there is an emergent issue, it is acted upon in a timely manner.  Reports are easily accessible to the acting facility manager.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around the use of surveillance activities to improve outcomes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restraint minimisation policy and an enabler- use of policy.  The restraint policy includes the definitions of restraint and enablers, which is congruent with the definitions in NZS 8134.0.  The policy includes comprehensive restraint procedures.  There are clear guidelines in the policies to determine what a restraint is and what an enabler is.  The restraint standards are being implemented and implementation is reviewed through internal audits, facility meetings, regional restraint meetings and at an organisational level.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 service had two hospital level residents using restraint in the form of bedrails and one also used a lap belt.  There was one resident with a lap belt as an enabler.  All enabler use is voluntary.  All three resident files were reviewed (two restraint and one enabler).  The enabler assessment form was completed and signed by the resident.  These had been evaluated at least three-monthly.  Monitoring was documented well though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staff that have completed a competency assessment are permitted to apply restraints.  Competency assessments expire annually and are renewed by the restraint coordinator.  There is a responsibilities and accountabilities table in the restraint policy that includes responsibilities for key staff at an organisation level and a service level.  The restraint coordinator is a clinical manager (a registered nurse).  She has a signed job description and understands the role and her accountabilities.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care plan, resident discussions and on observations of the staff.  There was a restraint assessment tool completed for one hospital level resident requiring a bedrail and one hospital level resident requiring both bedrails and lap belt when out of bed.  The care plans were up to date and provided in-depth information around the care and support needed for the residents, including risks associated with the use of restraint.  Ongoing consultation with the resident and family/whānau is also identified.  Falls risk assessments are completed six-monthly and interRAI assessment identifies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approval process includes ensuring the environment is appropriate and safe.  Assessments forms document that alternatives to restraint were considered prior to the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for two hospital residents with restraint, identified observations and monitoring.  Restraint use is reviewed through monthly review of restraint, a report to the QI meeting by the clinical manager, the three-monthly assessment evaluation and six monthly multidisciplinary meeting which includes family/whānau input.  A three-monthly report of restraint use is also provided to the national restraint group for benchmarking.  A restraint register is in place, which has been completed for the two residents requiring restraint and a separate register for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monthly as part of the clinical manager’s monthly review, three-monthly as part of the ongoing reassessment for the resident on the restraint register and as part of their care plan review.  The family is included as part of the MDR review.  Evaluation timeframes are determined by risk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able to evidence that they are proactive with restraint minimisation and have removed restraint from residents following consultation with the resident and their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quality meeting and as part of the internal audit programme.  Bupa reviews all restraint use and has published trends to all its facilities to map the progress of restraint reduction for all its facilities.  Review of restraint use across the group is discussed at the Regional Restraint Approval group and information is disseminated throughout the organisation.  The organisation and facility are very proactive in minimising restraint usage.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5"/>
        <w:gridCol w:w="1280"/>
        <w:gridCol w:w="3628"/>
        <w:gridCol w:w="3797"/>
        <w:gridCol w:w="19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 range of internal audits as per the Bupa audit plan.  Action plans are documented but not for all issues identified and not all action plans had been documented as followed up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Post audit action plans are not always documented or signed off.  Examples include: three internal audits for February 2016 and the post resident satisfaction survey 2015 action plan.  Two internal audits for June and one for July did not have action plans for issues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audits have an action plan for issues identified and that these are documented as followed up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all labelled correctly and safety data sheets are available.  The cleaners have a locked cupboard to store the cleaning trolleys when they are not in use.  Not all chemicals were stored correctly in the Serenity Unit (dementia unit)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trolley with chemicals on the top of the trolley was found unattended in a bathroom on the day of audit in the Serenity Unit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chemicals are safely stored.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7"/>
        <w:gridCol w:w="1280"/>
        <w:gridCol w:w="4284"/>
        <w:gridCol w:w="60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process in place.  </w:t>
            </w:r>
          </w:p>
          <w:p w:rsidR="00EB7645" w:rsidRPr="00BE00C7" w:rsidP="00BE00C7">
            <w:pPr>
              <w:pStyle w:val="OutcomeDescription"/>
              <w:spacing w:before="120" w:after="120"/>
              <w:rPr>
                <w:rFonts w:cs="Arial"/>
                <w:b w:val="0"/>
                <w:lang w:eastAsia="en-NZ"/>
              </w:rPr>
            </w:pPr>
            <w:r w:rsidRPr="00BE00C7">
              <w:rPr>
                <w:rFonts w:cs="Arial"/>
                <w:b w:val="0"/>
                <w:lang w:eastAsia="en-NZ"/>
              </w:rPr>
              <w:t>Incident forms are documented for all incidents and accidents and near misses.  The incident forms reviewed included a thorough RN review and follow up.  Progress notes documented incidents and short-term care plans were in place as needed.</w:t>
            </w:r>
          </w:p>
          <w:p w:rsidR="00EB7645" w:rsidRPr="00BE00C7" w:rsidP="00BE00C7">
            <w:pPr>
              <w:pStyle w:val="OutcomeDescription"/>
              <w:spacing w:before="120" w:after="120"/>
              <w:rPr>
                <w:rFonts w:cs="Arial"/>
                <w:b w:val="0"/>
                <w:lang w:eastAsia="en-NZ"/>
              </w:rPr>
            </w:pPr>
            <w:r w:rsidRPr="00BE00C7">
              <w:rPr>
                <w:rFonts w:cs="Arial"/>
                <w:b w:val="0"/>
                <w:lang w:eastAsia="en-NZ"/>
              </w:rPr>
              <w:t>Benchmarking reports are generated throughout the year to review performance over a 12-month period.  There is a number of ongoing quality improvements identified through the service’s review and analysis of monthly data collected.  Monthly action plans for incidents and accidents have been consistently commented and followed up.  The clinical manager uses incident and accident data to improve services to residents.  All meetings include excellent feedback on clinical indicators.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Riverside is active in analysing data collected monthly, around accidents and incidents, infection control, restraint etc.</w:t>
            </w:r>
          </w:p>
          <w:p w:rsidR="00EB7645" w:rsidRPr="00BE00C7" w:rsidP="00BE00C7">
            <w:pPr>
              <w:pStyle w:val="OutcomeDescription"/>
              <w:spacing w:before="120" w:after="120"/>
              <w:rPr>
                <w:rFonts w:cs="Arial"/>
                <w:b w:val="0"/>
                <w:lang w:eastAsia="en-NZ"/>
              </w:rPr>
            </w:pPr>
            <w:r w:rsidRPr="00BE00C7">
              <w:rPr>
                <w:rFonts w:cs="Arial"/>
                <w:b w:val="0"/>
                <w:lang w:eastAsia="en-NZ"/>
              </w:rPr>
              <w:t>Example:  resident related incidents such as falls were noted to be high in the hospital in June 2015.  The service implemented action plans which included: toolbox talks around falls prevention with staff and simplified graphs were created to illustrate to staff how many falls and bruises were occurring.  Staff report that these simplified graphs (along with the training) enabled better understanding of the problem.  Sensor mats and pull string monitors were purchased and implemented for high risk fallers and frequent fallers.  Clinical documentation following falls has been very thorough with very clear instruction for care and support.  Short-term care plans document regular evaluation by staff.</w:t>
            </w:r>
          </w:p>
          <w:p w:rsidR="00EB7645" w:rsidRPr="00BE00C7" w:rsidP="00BE00C7">
            <w:pPr>
              <w:pStyle w:val="OutcomeDescription"/>
              <w:spacing w:before="120" w:after="120"/>
              <w:rPr>
                <w:rFonts w:cs="Arial"/>
                <w:b w:val="0"/>
                <w:lang w:eastAsia="en-NZ"/>
              </w:rPr>
            </w:pPr>
            <w:r w:rsidRPr="00BE00C7">
              <w:rPr>
                <w:rFonts w:cs="Arial"/>
                <w:b w:val="0"/>
                <w:lang w:eastAsia="en-NZ"/>
              </w:rPr>
              <w:t>On evaluation of the effectiveness of these measures, they noted a drop in falls incidents in the hospital from 41 falls for the period January to June 2015, to 34 falls for the same period 2016.  Other corrective actions and strategies have been implemented where clinical indicators were above the benchmark.</w:t>
            </w:r>
          </w:p>
          <w:p w:rsidR="00EB7645" w:rsidRPr="00BE00C7" w:rsidP="00BE00C7">
            <w:pPr>
              <w:pStyle w:val="OutcomeDescription"/>
              <w:spacing w:before="120" w:after="120"/>
              <w:rPr>
                <w:rFonts w:cs="Arial"/>
                <w:b w:val="0"/>
                <w:lang w:eastAsia="en-NZ"/>
              </w:rPr>
            </w:pPr>
            <w:r w:rsidRPr="00BE00C7">
              <w:rPr>
                <w:rFonts w:cs="Arial"/>
                <w:b w:val="0"/>
                <w:lang w:eastAsia="en-NZ"/>
              </w:rPr>
              <w:t>Quality action forms have also been implemented.  An evaluation completed identified improvement to follow up assessments post incidents and link to other clinical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an infection occurs (based on standardised signs and symptoms), the infection control report is recorded on the infection log for the infection control nurse.  A short-term care plan is also completed.  The infection control nurse keeps a monthly summary log of all infections and all are logged into the online data base for benchmarking.  Benchmarking results are provided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2015, the infection control nurse noted that while the urinary tract infection rate at Riverview was high compared to other facilities, a reduction in infection rates would benefit residents.  The UTI infection rate was analysed for trends.  It was identified that staff routinely undertook urinalysis whenever a resident presented with delirium, this common resulted in a referral to the GP for antibiotic.  Resident with urinary catheters were represented highly on the data collection for UTI and further investigation noted that catheter care was an area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included: catheter care, nursing interventions and factors to consider when a resident presents with delirium, registered nurse education around indicators for infection and urinalysis.  Simplified graphs were presented to staff and increased staff education such as toolbox talks and handover re-enforcement was implemented.  Ideal products to be used and increased fluid rounds in hot weather were identified, discussed at staff/quality meetings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this analysis and addressing of trends, the service wide urinary tract infection rate has dropped from 35 UTIs for the period Jan to June 2015 to 17 for the same period 2016 with a continued downward trend in each of the three units.  Other infections show a similar trend.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Riverside Care Home and Hospital</w:t>
    </w:r>
    <w:bookmarkEnd w:id="58"/>
    <w:r>
      <w:rPr>
        <w:rFonts w:cs="Arial"/>
        <w:sz w:val="16"/>
        <w:szCs w:val="20"/>
      </w:rPr>
      <w:tab/>
      <w:t xml:space="preserve">Date of Audit: </w:t>
    </w:r>
    <w:bookmarkStart w:id="59" w:name="AuditStartDate1"/>
    <w:r>
      <w:rPr>
        <w:rFonts w:cs="Arial"/>
        <w:sz w:val="16"/>
        <w:szCs w:val="20"/>
      </w:rPr>
      <w:t>11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