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Ki-Chi Service Supplies Company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Ki-Chi Service Supplies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Raglan Trust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August 2016</w:t>
      </w:r>
      <w:bookmarkEnd w:id="7"/>
      <w:r w:rsidRPr="009418D4">
        <w:rPr>
          <w:rFonts w:cs="Arial"/>
        </w:rPr>
        <w:tab/>
        <w:t xml:space="preserve">End date: </w:t>
      </w:r>
      <w:bookmarkStart w:id="8" w:name="AuditEndDate"/>
      <w:r w:rsidR="00A4268A">
        <w:rPr>
          <w:rFonts w:cs="Arial"/>
        </w:rPr>
        <w:t>17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Raglan Trust Hospital and Rest Home provides rest home and hospital level care for up to 36 residents. On the day of the audit, there were 27 residents.  A facility manager, with support from a clinical nurse leader, manages the service.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four of eight shortfalls from the previous certification audit.  The areas addressed included maintenance of a complaints register, pain assessments, monitoring of medication fridge temperatures and an updated fire evacuation plan.  Improvements continue to be required around implementation of the quality systems and restraint use. </w:t>
      </w:r>
    </w:p>
    <w:p w:rsidRPr="00A4268A">
      <w:pPr>
        <w:spacing w:before="240" w:line="276" w:lineRule="auto"/>
        <w:rPr>
          <w:rFonts w:eastAsia="Calibri"/>
        </w:rPr>
      </w:pPr>
      <w:r w:rsidRPr="00A4268A">
        <w:rPr>
          <w:rFonts w:eastAsia="Calibri"/>
        </w:rPr>
        <w:t>This surveillance audit identified a number of moderate risk findings in relation to advanced directives, policies and procedures, meetings, internal audits, human resource management, education, care planning, interventions, food temperatures, and infection control. A high-risk finding has been identified around the lack of quality and risk management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families interviewed report that they are kept informed.  Residents and their family/whānau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A facility manager and clinical nurse leader are responsible for the day-to-day operations of the facility.  Quality and risk management processes are documented.  A health and safety plan is documented.</w:t>
      </w:r>
    </w:p>
    <w:p w:rsidRPr="00A4268A">
      <w:pPr>
        <w:spacing w:before="240" w:line="276" w:lineRule="auto"/>
        <w:rPr>
          <w:rFonts w:eastAsia="Calibri"/>
        </w:rPr>
      </w:pPr>
      <w:r w:rsidRPr="00A4268A">
        <w:rPr>
          <w:rFonts w:eastAsia="Calibri"/>
        </w:rPr>
        <w:t xml:space="preserve">Residents receive services from suitably qualified staff.  Human resources processes are documented.  An orientation programme is in place for new staff.  An education plan is documented. </w:t>
      </w:r>
    </w:p>
    <w:p w:rsidRPr="00A4268A">
      <w:pPr>
        <w:spacing w:before="240" w:line="276" w:lineRule="auto"/>
        <w:rPr>
          <w:rFonts w:eastAsia="Calibri"/>
        </w:rPr>
      </w:pPr>
      <w:r w:rsidRPr="00A4268A">
        <w:rPr>
          <w:rFonts w:eastAsia="Calibri"/>
        </w:rPr>
        <w:t xml:space="preserve">Registered nursing cover is provided 24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viewed in resident records demonstrated service integration.  Resident files included medical notes by the GP and visiting allied health professionals.</w:t>
      </w:r>
    </w:p>
    <w:p w:rsidRPr="00A4268A" w:rsidP="00621629">
      <w:pPr>
        <w:spacing w:before="240" w:line="276" w:lineRule="auto"/>
        <w:rPr>
          <w:rFonts w:eastAsia="Calibri"/>
        </w:rPr>
      </w:pPr>
      <w:r w:rsidRPr="00A4268A">
        <w:rPr>
          <w:rFonts w:eastAsia="Calibri"/>
        </w:rPr>
        <w:t xml:space="preserve">An activities programme is provided for the residents that is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and care staff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 site.  Fridge and freezer temperatures are recorded.  Individual and special dietary needs are catered for.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The service has appropriate procedures and processes documented for the safe assessment, planning, monitoring and review of restraint and enablers.  The service had no residents using enablers and five residents assessed as requiring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7"/>
        <w:gridCol w:w="1280"/>
        <w:gridCol w:w="99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six resident files reviewed (two rest home, three hospital – including one resident under 65 admitted under the residential disability certification and one respite resident).  Care staff interviewed, confirm consent is obtained when delivering cares.  Resuscitation orders had not been appropriately signed by the resident and general practitioner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identifies that the service actively involves them in decisions that affect their relative’s lives.  Six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aligns with the requirements set by the Health and Disability Commissioner (HDC). Complaints forms are available at the entrance to the facility.  Information about complaints is provided on admission.  Interviews with five residents (three rest home and two hospital) and five family members (two rest home and three hospital) confirmed that they understand the complaints process.  They also confirmed that the managers and staff are approachable and readily available if they have a concern.  </w:t>
            </w:r>
          </w:p>
          <w:p w:rsidR="00EB7645" w:rsidRPr="00BE00C7" w:rsidP="00BE00C7">
            <w:pPr>
              <w:pStyle w:val="OutcomeDescription"/>
              <w:spacing w:before="120" w:after="120"/>
              <w:rPr>
                <w:rFonts w:cs="Arial"/>
                <w:b w:val="0"/>
                <w:lang w:eastAsia="en-NZ"/>
              </w:rPr>
            </w:pPr>
            <w:r w:rsidRPr="00BE00C7">
              <w:rPr>
                <w:rFonts w:cs="Arial"/>
                <w:b w:val="0"/>
                <w:lang w:eastAsia="en-NZ"/>
              </w:rPr>
              <w:t>Six complaints have been lodged since January 2016.  One complaint has been lodged with the Health and Disability Commission and is still under investigation.  The complaints register, commenced in January 2016, included information and correspondence related to each complaint received since January 2016.  Timeframes for responding to each complaint were met and five of six complaints have been resolved.  The previous audit finding relating to the complaints register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complaints by the service is not clearly linked to the quality and risk management programme and complaints are not being collated to identify any possible trends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accident/incident forms were reviewed.  Evidence of communication with family/whānau is documented on the accident/incident forms and in the residents’ progress notes.  Residents and families interviewed advised that communication from the staff is respectful and easily understood and they are kept informed about changes in the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and contact details of available interpreters.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Raglan Rest Home and Hospital provides care for up to 36 residents across three service levels (hospital [medical and geriatric], rest home, and residential disability services – sensory).  On the day of the audit there were 15 hospital level residents - including two residents under 65 (residential disability contracts), and nine rest home residents.  There was one resident admitted under the acute mental health and addiction services contract and two residents admitted for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business/quality action plan has been documented for 2015 to 2017; however, this has not been implemented or reviewed.   The manager meets weekly with the owner to discuss operational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with a current practising certificate who has been in the role since April 2016. The manager has previous aged care facility management experience.  A clinical nurse leader supports the manager. The clinical nurse leader was previously a registered nurse at the facility and commenced the clinical nurse leader position in May 2016. The manager and clinical nurse leader have maintained over eight hours of professional development activities related to managing an aged care service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and operated by Ki-Chi Service Supplies Company Limited.  The service has a business relationship with the Cavell Group, and uses the Cavell Group policies and procedures to support good practice and adherence to the relevant standards - including those standards relating to the Health and Disability Services (Safety) Act 2001.  A document control schedule is in place.  All managers of the Cavell Group regularly review policies every one-two years unless changes occur more frequently.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facility manager and staff reflect an understanding of the quality and risk management systems that is required.  However, documentation reviewed does not reflect an implemented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quality data is collected and collated, but this is not consistently completed.  A number of shortfalls have been identified around the lack of an implemented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on a case-by-case basis, which includes the use of sensor mats and utilisation of physiotherapy services.  The service has a high incidence of falls, however there was no evidence of a falls reduction strategy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principles of hazard management.  The Cavell Group health and safety system has not yet been fully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findings related to quality and risk data and corrective action plans has not been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by staff who either witnessed an adverse event or were the first to respond.  The resident is reviewed by the RN at the time of the event.  Eight incident forms were reviewed and all were completed appropriately (link 1.2.3.6).  There was evidence that the families were notified of the incidents.  The events were also documented in the residents’ progress notes, however the interventions required for acute changes were not documented in a care plan (link 1.3.5.2) and the required monitoring was not always evidenced (link 1.3.6.1). There were shortfalls around the documentation of incident/accident forms for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nurse leader confirmed their awareness of the requirement to notify relevant authorities in relation to essential notifications. The owner advised (at the exit interview) a notification had been made to Worksafe but this notification could not be located (link 1.2.3.9).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available.  This includes recruitment, selection, orientation and staff training and development.  The service has an orientation programme in place.  The practising certificates of nurses are current. The service also maintains copies of other visiting practitioners practising certificates including GP, pharmacist and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(facility manager, clinical nurse leader, two caregivers, one cook and one activities staff member).  All included evidence of the recruitment process, and signed employment contracts.  Not all staff files sampled evidenced completed orientation documentation, signed job descriptions and annual performance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has not been implemented. The facility manager and registered nurses are able to attend external training, including sessions provided by the local DHB.  One of six registered nurses has completed InterRAI training and another registered nurse is booked to attend InterRAI training next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registered nurses including (but not limited to) medication and syringe driver. There are implemented competencies for care staff for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Sufficient staff are rostered to manage the care requirements of the residents.  At least one registered nurse is on site at any one time.  Activities staff are available five days a week.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reduction in staffing levels (including the RN hours) since December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(four rest home, six hospital). There are policies and procedures in place for safe medicine management that meet legislative requirements.  All clinical staff who administer medications have been assessed for competency on an annual basis.  Education around safe medication administration has been provided (link 1.2.7.5).  Staff were observed to be safely administering medications.  Registered nurses interviewed were able to describe their role in regard to medicine administration.  Standing orders are not used.  There were no residents self-medicating on the day of audit.  There is no stock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met legislative prescribing requirements.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regularly and these are within acceptable ranges.  The previous audit findings relating to medication fridge temperatures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Raglan Trust Hospital and Rest Home are prepared and cooked on site.  There is a food services manual in place to guide staff.  There is a four weekly seasonal menu. Meals are delivered to the dining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nutritional profile is developed for each resident on admission and provided to the kitchen staff.  Dietary needs are known with individual likes and dislikes accommodated.  Pureed, gluten free,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surveys allow for the opportunity for resident feedback on the meals and food services (link 1.2.3.8).   Residents and family members interviewed were satisfied with the variety of food offered but voiced concern that the hot food was not always hot.  Residents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weekly.  End cooked food temperatures are not recorded.   </w:t>
            </w:r>
          </w:p>
          <w:p w:rsidR="00EB7645" w:rsidRPr="00BE00C7" w:rsidP="00BE00C7">
            <w:pPr>
              <w:pStyle w:val="OutcomeDescription"/>
              <w:spacing w:before="120" w:after="120"/>
              <w:rPr>
                <w:rFonts w:cs="Arial"/>
                <w:b w:val="0"/>
                <w:lang w:eastAsia="en-NZ"/>
              </w:rPr>
            </w:pPr>
            <w:r w:rsidRPr="00BE00C7">
              <w:rPr>
                <w:rFonts w:cs="Arial"/>
                <w:b w:val="0"/>
                <w:lang w:eastAsia="en-NZ"/>
              </w:rPr>
              <w:t>Not all food services staff have completed training in food safety and hygiene and chemical safety (link 1. 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implemented.  InterRAI assessments have been completed for all residents.  Care plans sampled were not all developed on the basis of these and other clinical assessments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regular pain assessments were found in the files reviewed and the outcome of the pain management interventions were evaluated in the progress notes.  The previous audit finding related to pain 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This standard was opened in this surveillance audit due to the number of gaps in the resident care plans reviewed.  The RNs are responsible for all aspects of care planning. The care plans reviewed demonstrated service integration and input from allied health. Not all care plans included specific interventions for all identified care needs. Interventions noted in the progress notes were not transferred to the care plans. Care plans were not always documented to reflect acute changes in health status. Family/whānau members interviewed confirmed the care delivery and support by staff is consistent with their expectations.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(link 1.3.3.3).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not were commenced with a change in heath condition (link 1.3.5.2).  Long-term care plans did not always evidence interventions documented in sufficient detail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Staff interviewed could describe the components of appropriate Tikanga Māori and the components of safe cultural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is employed 25 hours per week to coordinate the activities programme for all residents.  Five hours of this time per week is allocated to giving out the afternoon tea. The activities coordinator is supported by another staff member who works up to 3 hours per week.  The programme runs Monday to Friday and an activities table is left prepared for activities over the weekend.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that are appropriate to the functional capabilities of residents. There is a weekly programme that is posted on the residents’ noticeboard.  The programme covers a variety of activities such as newspaper reading, discussion groups, quizzes, bowls, bingo, chair exercises, craft programmes and outdoor walks.</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planned once a week.  The activities coordinator who goes out in the van does not have a have a current first aid certificate (link 1.2.7.5).  Church services are held weekly. Special occasions and birthdays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For residents who have difficulty participating or who don’t like to leave their rooms, the activities coordinator visits and offers books and movies.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activity plan identifies activities and community links that reflect the resident’s normal pattern of life.  Not all resident’s activity plans have been reviewed six monthly (link 1.3.8.2).   Residents have the opportunity to verbally feedback on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were documented and evaluated by the RN within three weeks of admission.  Long-term care plans had been reviewed at least six monthly or earlier for any health changes.  The GP reviews the residents at least three monthly or earlier if required.  Evidence of three monthly GP reviews were seen in all resident files sampled.  Ongoing nursing evaluations occur daily/as indicated and are documented within the progress notes (link 1.3.3.3).  Not all activity care plans in the files sampled had been reviewed at least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27 April 2017).  The facility has a mixture of radiator heating, panel heaters and heat pumps. The residents and staff interviewed felt the facility heating was adequate to maintain a comfortable ambient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DHB requested elements of the cleaning service were audited at this surveillance audit.  There are dedicated cleaning staff who work over the 7 days per week. The cleaning staff have access to a range of chemicals, cleaning equipment and protective clothing.  The standard of cleanliness is monitored through the internal audit programme (link 1.2.3.7).  Residents interviewed were satisfied with the standard of cleanliness in the facility. The facility appeared clean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Care staff rostered on all shifts complete all laundry on site in an appropriately appointed laundry.  The care staff interviewed advised that at times they felt they did not have enough hours allocated to complete the laundry and to provide cares.  The service is currently reviewing the staffing of the laundry. The staff interviewed advised that soiled linen is put into buckets or linen skips and promptly removed to the laundry. Residents interviewed advised they are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in place.  A fire evacuation drill was last completed in August 2016.  The orientation programme and mandatory education and training programme includes fire and security training (link 1.2.7.5).  Staff interviews confirm their understanding of emergency procedures.  Required fire equipment was sighted on the day of audit and all equipment has been checked within required timeframes.  An approved fire evacuation plan dated 31 May 2015 was sighted.  The previous audit finding related to the approved updated evacuation plan has been met.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gas cooking.  A back up three-hour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Residents interviewed advised that their call bells were answered promptly.  There is a minimum of one person who is available 24 hours a day, seven days a week with a current first aid/CPR certificate (link 1.2.7.5).</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Security cameras are placed in strategic locations throughout the facility with a large monitor in the manager’s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Infection control surveillance data is collected for respiratory infections, urinary tract infections, multi-resistant organisms, eye infections, antibiotic use and diarrhoea.  Surveillance data Is not consistently documented. The surveillance data collected is not consistently analysed or trended.  Where areas for improvement are noted no corrective action plans are documented. Infection control internal audits have not been completed.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The infection control systems that are documented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restraint minimisation and safe practice policies available to the service.  Guidelines on the restraints policy ensure that enablers are voluntary, the least restrictive option and allows residents to maintain their independence.  There is a restraint and enabler register.  There are currently five hospital residents using restraint (two bedrails, two tub chairs, and one chair restraint) and no residents with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was reviewed for all residents using a restraint and evidences assessment, authorisation, and consents are in place. There has been no staff training on restraint minimisation or challenging behaviours in the past 12 months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only put in place where it is clinically indicated and justified and approval processes are obtained/met.  There is an assessment form/process that is completed for all restraint and enabler use.  All resident files using a restraint were reviewed and evidenced an assessment, signed consent and regular review of the use of the restraint.  Not all restraint care plans included specific interventions to manage the risk or evidenced that the monitoring was completed at the frequency determined by the risk level and organisational policy. Staff report that they regularly check on residents while restraint is in use but this is not being documented on the restraint monitoring forms.  The previous findings relating to the use of restraint have not been resolved.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90"/>
        <w:gridCol w:w="1280"/>
        <w:gridCol w:w="3475"/>
        <w:gridCol w:w="3567"/>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that the GP undertakes a medical review of the resident and then discusses resuscitation with the resident and or family/EPOA.  The GP then documents the outcome of this discussion on the resuscitation/advanced directive form.  Not all resuscitation/advanced directive status forms had been fully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advanced directive forms were not completed fully and did not evidence discussion on resuscitation with the resident or family/EPOA.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advanced directives where the resident was deemed to be competent were not signed by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advanced directives are fully completed and appropriately signed.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business/quality action plan in place for 2015 – 2017. This plan describes the direction and scope of the business and identifies the business and quality goals. The business/quality action plan has not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2015 - 2017 business/quality action plan has not been implemented or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business/quality action plan is implemented and progress against the gaols is regularly reviewed.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and risk management system. This system has not been fully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quality and risk management plan/programme is not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aspects of the quality and risk management system are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Cavell Group policies and procedures.  Not all policies and procedures have been fully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policies and procedures have not been fully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organisational policies and procedures are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general staff meeting and a registered nurse meeting has recently been implemented.  These meetings have not been held on a regular basis and do not evidence discussion around quality data and quality management systems.  Residents interviewed advised that they provide feedback on the service to the facility manager, but have not had a resident meeting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no evidence of staff meetings being held consistently.  Where staff meetings have been held there is no evidence that quality data, trends, complaints, corrective actions and health and safety matters are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ii) There have been no scheduled meetings with residents in the past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meetings are held on a regular basis to communicate all relevant aspects of the quality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resident meetings are held on a regular basis.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indictor data is collected for falls, medication errors, skin tears, bruises, pressure injuries, absconding, fractures, soft tissue injury, behaviours, verbal abuse, wandering and near miss. This data is collated, however there is no analysis or evaluation of the clinical indicator data and the results are not consistently communicated to the staff or residents.  Accident and incident forms have not been completed for all current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in place, however there was no evidence that the complaints were being analysed for trends.  Registered nurse meetings were commenced in May 2016, and general staff meetings are held.  There are no fixed agendas for the staff meetings and quality improvement data is not consistently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clinical indicator data is collected but not analysed, trended or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Accident and Incident forms have not been completed for four of five residents with current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Complaints are not being trended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Information related to clinical incident data is not consistently communicated to staff and where appropriate to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clinical indicator data is consistently collected, analysed and trended.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pressure injuries are reported on an accident/incident form.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complaints are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information related to clinical indicators is consistently communicated to staff and where appropriate to the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monitoring schedule. The documented audit and monitoring schedule has not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Only two care documentation audits were evidenced since February 2015. These audits did not have all sections of the audit tool 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monitoring schedule is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captures quality data.  Where areas requiring improvements were noted, corrective action plans were not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 corrective action plans were sighted or remedial actions evidenced where clinical indicator data identified areas requiring improvement. The areas that were above an acceptable benchmark included falls and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resident food satisfaction survey completed in December 2015 identified that residents reported the meals were cold.  No corrective actions had been put in place to address this and the residents interviewed reported the meals were often cold (link 1.3.13.1).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dietitian reviewed the menu in May 2016. The review identified areas for improvement.  No corrective action plan has been documented to address the required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No corrective action plans had been developed and implemented for the deficits noted in the care documentation audits completed in February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i-iv) Ensure that corrective actions are documented and implemented where areas are identified requiring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hazard register in place, however this has not been reviewed or updated since 2013.  Health and safety is covered at orientation for new staff, however staff have not had any health and safety updates in the past 12 months.  There is no health and safety committee and there is no evidence that health and safety and hazard management is being discussed at the staff meetings that have been held. There was no evidence that the service was implementing hazard identification reporting or that there was any monitoring of hazards. The owner advised at the exit interview, there has been one incident reported to Worksafe since the last audit.  No information was on site in relation to this incident (link 1.2.4.2).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hazard register has not been reviewed since November 2013.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has been no health and safety updates provided to staff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iii) There is no health and safety committee and no evidence of hazards and their management being discussed at any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is no health and safety officer currently appointed.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Hazard identification reporting by staff was not evidenced and there was no evidence that health and safety matters were regularly reviewed or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vi)  No health and safety audits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i-vi) Ensure that all aspects of the health and safety management system are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 advised at the exit interview, there has been one incident reported to Worksafe since the last audit. No information was on site in relation to this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advised that a staff member sustained an electrical burn and the matter was investigated internally and a notification sent to Worksafe. No information related to this event could be located at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information related to essential notifications and any corrective actions undertaken in relation to this are available on site.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incident forms were reviewed and all were completed appropriately (link 1.2.3.6).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current PIs had not had an accident and incident form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pressure injuries are documented on incident forms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is completed by all new staff.  Copies of the completed orientation programme were not located in all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six staff files reviewed did not evidence completion of the orientation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complete the organisation’s orientation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education planner has not been implemented. Staff have been provided with training on fire evacuation, medication management, palliative care, manual handling and skin management, and complaints and advocacy in the past 12 months. Attendance at education sessions has been low and no process is in place for staff who do not attend mandatory training. Staff have completed a questionnaire on the code of rights.  The facility manager advised that other staff quizzes have been completed but these could not be located and no details could be provided on what was covered.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administer medication have completed medication competencies and eight staff have current first aid certificates. The clinical manager has attended training on PEG feeding and has a syringe driver competency. In the staff files sampled not all staff have had an annual performance review or have a signed job description. The activities coordinator who accompanies residents on outings, does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annual education planner has not been implemented and could not be located during the audit.  There have been five sessions in the last year (as per no. iii).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education provided in the past 12 months does not comply with the requirements of the health and disability sector standards or the aged related resident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iii) Nineteen of 30 staff attended the fire evacuation training, three of 30 staff attended the complaint and advocacy training, 16 of 30 staff completed the code of rights questionnaire and 14 of 30 staff have completed manual handling competencies.  There is no process is in place to follow up staff who do not attend the compulsory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Two of six staff working in the kitchen have not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The activities coordinator takes residents on outings but does not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Three of six files sampled had no evidence of an annual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vii) One of six files sampled had no signed job description and there was no signed job description sited for the restraint coordinator.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annual education planner is fully implemented and that education and training is provided to meet the requirements of the health and disability sector standards and the aged related resident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iii)  Where attendance is low at education, implement a system, to follow up staff who do not attend.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all staff who work in the kitchen have completed the necessary food safety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v)   Ensure that the activities coordinator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vi)  Ensure that all staff have an annual performance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Ensure that all staff and the restraint coordinator have a signed job description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completing the nutritional profile for the resident and providing this to the kitchen. The service has had the four weekly menu reviewed by a dietitian in May 2016.  Fridge and freezer temperatures are recorded but no end cooked food temperatures are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temperatures are not being recorded and the service does not have a food temperature probe.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food temperatures are taken and food is maintained and served to the residents at the correct temperature.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initial assessments and an initial care plan on admission. In the files sampled InterRAI assessments were completed for all residents requiring an InterRAI assessment.  The respite care file reviewed evidenced assessments and care plans were completed within the required timeframes.  Long-term care plans were completed, but not all long-term care plans had been completed within 21 days of admission.  The registered nurses are responsible for all aspects of care provision. Timely follow-up by a registered nurse following an acute change in health condition was not always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long-term files reviewed (one hospital and one rest home) did not have the long-term care plans developed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evidence of timely ongoing follow-up by a registered nurse, for a) one hospital resident who was noted to be drowsy and difficult to rouse.  There was no evidence of a review by registered nurse until 12 hours later after the incident was noted in the progress notes; b) one hospital resident with a history of GI bleeds was reported by the care staff to have fresh blood in his stool, and was referred to the GP by the registered nurse.  There was no documented evidence of a regular review by a registered nurse until he was seen by the GP; and c) one hospital resident had an episode of choking noted in the progress notes, and there was no evidence of a review by the registered nurse until fourteen hours after the event was reported.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long-term care plan is completed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there is timely follow-up by a registered nurse for all acute changes in health condition.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developed on the basis of the InterRAI and other clinical assessments. Not all long-term care plans were available on the first day of audit.  Care interventions required for acute changes in health condition, although documented in progress notes, were not always transferred to a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with complex care needs did not have a care plan on site on the first day of audit, as a registered nurse had taken the care plan home to work on. The care plan was returned the next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Interventions documented in the progress notes were not transferred to a care plan in three files reviewed; (i) a rest home resident with acute vomiting, (ii) a hospital resident following a choking episode, and (iii) a hospital resident with fluid overload. </w:t>
            </w:r>
          </w:p>
          <w:p w:rsidR="00EB7645" w:rsidRPr="00BE00C7" w:rsidP="00BE00C7">
            <w:pPr>
              <w:pStyle w:val="OutcomeDescription"/>
              <w:spacing w:before="120" w:after="120"/>
              <w:rPr>
                <w:rFonts w:cs="Arial"/>
                <w:b w:val="0"/>
                <w:lang w:eastAsia="en-NZ"/>
              </w:rPr>
            </w:pPr>
            <w:r w:rsidRPr="00BE00C7">
              <w:rPr>
                <w:rFonts w:cs="Arial"/>
                <w:b w:val="0"/>
                <w:lang w:eastAsia="en-NZ"/>
              </w:rPr>
              <w:t>iii) Five of six files reviewed (three hospital and two rest home) did not have care plans documented for acute changes in health condition (infections, pain management, wandering, challenging behaviour and a change in renal function).</w:t>
            </w:r>
          </w:p>
          <w:p w:rsidR="00EB7645" w:rsidRPr="00BE00C7" w:rsidP="00BE00C7">
            <w:pPr>
              <w:pStyle w:val="OutcomeDescription"/>
              <w:spacing w:before="120" w:after="120"/>
              <w:rPr>
                <w:rFonts w:cs="Arial"/>
                <w:b w:val="0"/>
                <w:lang w:eastAsia="en-NZ"/>
              </w:rPr>
            </w:pPr>
            <w:r w:rsidRPr="00BE00C7">
              <w:rPr>
                <w:rFonts w:cs="Arial"/>
                <w:b w:val="0"/>
                <w:lang w:eastAsia="en-NZ"/>
              </w:rPr>
              <w:t>iv) Interventions were not documented to manage infections as reported in the surveillance data for the month of April, June and July.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Interventions to guide care staff on the specific interventions to manage the pressure injury risk were not fully documented for three residents with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All six files reviewed did not have sufficient detail in care plans to guide care staff in the management of all assessed care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resident care plans remain on site and are available for all care staff. </w:t>
            </w:r>
          </w:p>
          <w:p w:rsidR="00EB7645" w:rsidRPr="00BE00C7" w:rsidP="00BE00C7">
            <w:pPr>
              <w:pStyle w:val="OutcomeDescription"/>
              <w:spacing w:before="120" w:after="120"/>
              <w:rPr>
                <w:rFonts w:cs="Arial"/>
                <w:b w:val="0"/>
                <w:lang w:eastAsia="en-NZ"/>
              </w:rPr>
            </w:pPr>
            <w:r w:rsidRPr="00BE00C7">
              <w:rPr>
                <w:rFonts w:cs="Arial"/>
                <w:b w:val="0"/>
                <w:lang w:eastAsia="en-NZ"/>
              </w:rPr>
              <w:t>ii)     Ensure interventions documented in the progress notes are transferred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iii-iv) Ensure care plans are documented for all acute changes in health conditions.</w:t>
            </w:r>
          </w:p>
          <w:p w:rsidR="00EB7645" w:rsidRPr="00BE00C7" w:rsidP="00BE00C7">
            <w:pPr>
              <w:pStyle w:val="OutcomeDescription"/>
              <w:spacing w:before="120" w:after="120"/>
              <w:rPr>
                <w:rFonts w:cs="Arial"/>
                <w:b w:val="0"/>
                <w:lang w:eastAsia="en-NZ"/>
              </w:rPr>
            </w:pPr>
            <w:r w:rsidRPr="00BE00C7">
              <w:rPr>
                <w:rFonts w:cs="Arial"/>
                <w:b w:val="0"/>
                <w:lang w:eastAsia="en-NZ"/>
              </w:rPr>
              <w:t>v-vi) Ensure care plan interventions include sufficient detail to guide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identified interventions were not always documented in sufficient detail. While monitoring charts were being utilised, care plans did not always guide staff around completing them.  Not all required monitoring was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were not totalled daily for one rest home resident on a fluid balance chart with a recent history of dehydration and one hospital resident on a PEG feed (YPD tracer).  There was lack of documented evidence to reflect that the required monitoring was completed for two rest home residents who had absconded from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required monitoring occurs and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reviewed by the registered nurse in consultation with the resident and where appropriate the family/EPOA.  Long-term care plans had been reviewed at least six monthly or earlier for any health changes.  Not all activity care plans had been reviewed against the stated goals or reviewed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six activity care plans (one hospital and two rest home) had not been evaluated against the stated gaols or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activity plans are reviewed in conjunction with a review of the long-term care plan and the activity plan is reviewed against the residents stated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advised there is an infection control committee, however no infection control meetings have been held.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infection control committee meetings have been held and no review of the site-specific infection control requirements has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infection control committee meet on a regular basis to review the surveillance programme and the surveillance data.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surveillance data is recorded on a monthly infection data log.  The infection data is not consistently logged.  There is no analysis of the infection control data and no corrective actions documented. The infection control data is not consistently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data is not consistently collected, analysed and trended and the results are not consistently communicated to staff.  Where the results are high, corrective action plans have not been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surveillance data is consistently documented and analysed and trends identified.  Where the results are high or there is risk identified, ensure that corrective action plans are documented.  Ensure that the results of the infection control surveillance data and the corrective action plans are communicated to all staff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care plans are documented by the registered nurse and/or the restraint coordinator.  Not all residents using a restraint had interventions documented in sufficient detail to guide care staff in managing the identified risks.  Not all monitoring of residents using a restraint was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five residents on restraint did not have specific interventions documented in their care plan to manage the identified risk.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Monitoring was not completed as required by the organisational policy for five of five residents using a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interventions are documented in the restraint care plan in sufficient detail to guide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monitoring of residents using a restraint is consistently documented and complies with the organisational requirements and care plan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Ki-Chi Service Supplies Company Limited</w:t>
    </w:r>
    <w:bookmarkEnd w:id="58"/>
    <w:r>
      <w:rPr>
        <w:rFonts w:cs="Arial"/>
        <w:sz w:val="16"/>
        <w:szCs w:val="20"/>
      </w:rPr>
      <w:tab/>
      <w:t xml:space="preserve">Date of Audit: </w:t>
    </w:r>
    <w:bookmarkStart w:id="59" w:name="AuditStartDate1"/>
    <w:r>
      <w:rPr>
        <w:rFonts w:cs="Arial"/>
        <w:sz w:val="16"/>
        <w:szCs w:val="20"/>
      </w:rPr>
      <w:t>16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