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Moana House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Moana House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Moana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July 2016</w:t>
      </w:r>
      <w:bookmarkEnd w:id="7"/>
      <w:r w:rsidRPr="009418D4">
        <w:rPr>
          <w:rFonts w:cs="Arial"/>
        </w:rPr>
        <w:tab/>
        <w:t xml:space="preserve">End date: </w:t>
      </w:r>
      <w:bookmarkStart w:id="8" w:name="AuditEndDate"/>
      <w:r w:rsidR="00A4268A">
        <w:rPr>
          <w:rFonts w:cs="Arial"/>
        </w:rPr>
        <w:t>25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Moana House is a community health trust. It is operated by a trust board of up to 10 members. Currently there are eight members on the board. It offers rest home, hospital and primary care options for up to 51 residents. Four of the 51 beds are serviced apartments which are part of the main facility.   </w:t>
      </w:r>
    </w:p>
    <w:p w:rsidRPr="00A4268A">
      <w:pPr>
        <w:spacing w:before="240" w:line="276" w:lineRule="auto"/>
        <w:rPr>
          <w:rFonts w:eastAsia="Calibri"/>
        </w:rPr>
      </w:pPr>
      <w:r w:rsidRPr="00A4268A">
        <w:rPr>
          <w:rFonts w:eastAsia="Calibri"/>
        </w:rPr>
        <w:t>This surveillance audit has been undertaken to establish compliance with the Health and Disability Services Standards and the provider’s contract with the district health board. The audit process included the review of policies, procedures, residents and staff files, observations and interviews with residents, family/whanau, management and staff. The general practitioner (GP) was not available for interview on the day of audit.</w:t>
      </w:r>
    </w:p>
    <w:p w:rsidRPr="00A4268A">
      <w:pPr>
        <w:spacing w:before="240" w:line="276" w:lineRule="auto"/>
        <w:rPr>
          <w:rFonts w:eastAsia="Calibri"/>
        </w:rPr>
      </w:pPr>
      <w:r w:rsidRPr="00A4268A">
        <w:rPr>
          <w:rFonts w:eastAsia="Calibri"/>
        </w:rPr>
        <w:t>The one item identified for improvement from the previous certification audit has been addressed but a new corrective action has been identified under the same criterion. A second quality improvement is required related to formal evaluation of long term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Services are provided in a manner that is respectful of residents’ rights and acknowledges cultural and individual values and beliefs. Interpreter services are used when required. The sharing of information with residents and family/whānau is documented. </w:t>
      </w:r>
    </w:p>
    <w:p w:rsidRPr="00A4268A">
      <w:pPr>
        <w:spacing w:before="240" w:line="276" w:lineRule="auto"/>
        <w:rPr>
          <w:rFonts w:eastAsia="Calibri"/>
        </w:rPr>
      </w:pPr>
      <w:r w:rsidRPr="00A4268A">
        <w:rPr>
          <w:rFonts w:eastAsia="Calibri"/>
        </w:rPr>
        <w:t xml:space="preserve">The service has a complaints management system in place which meets the standard and legislative requirements. At the time of audit there are no outstanding complaints. </w:t>
      </w:r>
    </w:p>
    <w:p w:rsidRPr="00A4268A">
      <w:pPr>
        <w:spacing w:before="240" w:line="276" w:lineRule="auto"/>
        <w:rPr>
          <w:rFonts w:eastAsia="Calibri"/>
        </w:rPr>
      </w:pP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Moana House had an up to date business plan which covers all aspects of service delivery planning. The business plan is reviewed annually at board level to ensure service planning and coordination meets the needs of residents. </w:t>
      </w:r>
    </w:p>
    <w:p w:rsidRPr="00A4268A">
      <w:pPr>
        <w:spacing w:before="240" w:line="276" w:lineRule="auto"/>
        <w:rPr>
          <w:rFonts w:eastAsia="Calibri"/>
        </w:rPr>
      </w:pPr>
      <w:r w:rsidRPr="00A4268A">
        <w:rPr>
          <w:rFonts w:eastAsia="Calibri"/>
        </w:rPr>
        <w:t xml:space="preserve">The facility management team consists of the general manager (GM), clinical nurse manager (CNM), support service manager and the administrator. The GM has overall responsibility for the day to day management of the service. The GM and recently appointed CNM are registered nurses. There are experienced and skilled staff working at the facility. </w:t>
      </w:r>
    </w:p>
    <w:p w:rsidRPr="00A4268A">
      <w:pPr>
        <w:spacing w:before="240" w:line="276" w:lineRule="auto"/>
        <w:rPr>
          <w:rFonts w:eastAsia="Calibri"/>
        </w:rPr>
      </w:pPr>
      <w:r w:rsidRPr="00A4268A">
        <w:rPr>
          <w:rFonts w:eastAsia="Calibri"/>
        </w:rPr>
        <w:t>The service has quality and risk management systems which are understood by staff. Quality management reviews include an internal audit process, complaints management, incident/accident and infection control data collection. Quality and risk management activities and results are shared among staff and residents and family/whānau as appropriate. Corrective action planning occurs as required.</w:t>
      </w:r>
    </w:p>
    <w:p w:rsidRPr="00A4268A">
      <w:pPr>
        <w:spacing w:before="240" w:line="276" w:lineRule="auto"/>
        <w:rPr>
          <w:rFonts w:eastAsia="Calibri"/>
        </w:rPr>
      </w:pPr>
      <w:r w:rsidRPr="00A4268A">
        <w:rPr>
          <w:rFonts w:eastAsia="Calibri"/>
        </w:rPr>
        <w:t xml:space="preserve">Good human resources practices are implemented. The staffing skills mix is appropriate for the level of care and services provided. Every shift is covered by a registered nurse and at least one staff member who holds a current first aid certificate. </w:t>
      </w:r>
    </w:p>
    <w:p w:rsidRPr="00A4268A">
      <w:pPr>
        <w:spacing w:before="240" w:line="276" w:lineRule="auto"/>
        <w:rPr>
          <w:rFonts w:eastAsia="Calibri"/>
        </w:rPr>
      </w:pPr>
      <w:r w:rsidRPr="00A4268A">
        <w:rPr>
          <w:rFonts w:eastAsia="Calibri"/>
        </w:rPr>
        <w:t xml:space="preserve">As confirmed during resident and family/whānau interviews, the services provided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Long term care plans are developed and interventions are sufficiently detailed. Improvement is required in relation to formally evaluating the care plans. Short term care plans are developed when acute conditions are identified and resolutions are documented. Planned activities are appropriate to the needs, age and culture of the residents who verbalised that the activities are enjoyable and meaningful to them.</w:t>
      </w:r>
    </w:p>
    <w:p w:rsidRPr="00A4268A" w:rsidP="00621629">
      <w:pPr>
        <w:spacing w:before="240" w:line="276" w:lineRule="auto"/>
        <w:rPr>
          <w:rFonts w:eastAsia="Calibri"/>
        </w:rPr>
      </w:pPr>
      <w:r w:rsidRPr="00A4268A">
        <w:rPr>
          <w:rFonts w:eastAsia="Calibri"/>
        </w:rPr>
        <w:t>The medicine management system is not consistently implemented in order to meet the required guidelines. Improvement is required in relation to documenting the indications of topical medications.</w:t>
      </w:r>
    </w:p>
    <w:p w:rsidRPr="00A4268A" w:rsidP="00621629">
      <w:pPr>
        <w:spacing w:before="240" w:line="276" w:lineRule="auto"/>
        <w:rPr>
          <w:rFonts w:eastAsia="Calibri"/>
        </w:rPr>
      </w:pPr>
      <w:r w:rsidRPr="00A4268A">
        <w:rPr>
          <w:rFonts w:eastAsia="Calibri"/>
        </w:rPr>
        <w:t xml:space="preserve">Food services meet the food safety guidelines and legislation. The individual food, fluids and nutritional needs of the residents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identify that enablers are voluntary and the least restrictive option to allow residents to maintain independence, comfort and safety. There are three residents using enablers. Staff training regarding restraints and enablers is conducted annually. Staff demonstrated good knowledge regarding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management system includes surveillance and is appropriate for the nature of the service. The infection control coordinator collates monthly surveillance data and this is reported to the GM. Where there are any trends identified, actions are implemented. The infection control surveillance data are reported at management, board and staff meetings. </w:t>
      </w:r>
    </w:p>
    <w:p w:rsidRPr="00A4268A">
      <w:pPr>
        <w:spacing w:before="240" w:line="276" w:lineRule="auto"/>
        <w:rPr>
          <w:rFonts w:eastAsia="Calibri"/>
        </w:rPr>
      </w:pPr>
      <w:r w:rsidRPr="00A4268A">
        <w:rPr>
          <w:rFonts w:eastAsia="Calibri"/>
        </w:rPr>
        <w:t xml:space="preserve">Expertise is available and can be sought as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8"/>
        <w:gridCol w:w="1280"/>
        <w:gridCol w:w="96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The complaints register sighted was up to date and identifies that at the time of audit there are no open complaints. Complaints processes are explained during the admission process as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correct implementation of the complaints process. Complaints are a standing agenda item for staff, management and board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Only one complaint has been received since the previous audit and it was fully investigated and closed off. The review of the complaint is documented on an accident investigation and quality initiative (AIQI)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coroner’s inquest and the letter of closure dated 06 July 2016 identified that no inquiry was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confirmed complaints management information is used as an opportunity to improve services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identified in policy, the service ensures that full and frank information is shared with residents and family/whānau as appropriate. Information sharing was identified in the residents’ files reviewed and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Management confirmed that interpreters would be used as required to ensure residents and family/whānau have a full understanding of issues discussed.  At the time of audit, no residents had English as a second language. Monthly resident meetings are used to exchange and share information 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confirmed that they were invited to participate in planning of care through discussions with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admission agreements sighted were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trust board provides governance for the delivery of services. They undertake strategic planning annually (in October) to ensure services are meeting the needs of residents and the community. Key performance indicators are set at this time. The organisation’s vision, mission statement, values and scope of service are clearly documented.  The 2016 business plan identifies set goals and objectives covering all aspects of service delivery. The general manager (GM) of Moana House reports monthly to the board who monitor the degree to which each objective is progressing. Quality and risk planning details show the risks, current controls and ongoing actions taken to limit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 facility had 43 beds occupied consisting of 22 rest home and 21 hospital level of care residents. Three of the 21 hospital level care residents were under the primary care options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at the facility consists of the general manager who has been in the role for 15 years and is a registered nurse, the clinical nurse manager appointed on 09 May 2016 who is experienced in management roles and holds a current nursing practising certificate, support services manager who has been in the role two years and the administrator who has held the role four years. Members of the management team attend professional education forums to ensure their skills and knowledge are maintained. The job descriptions sighted identify the authority, accountability and responsibility related to the role each person undertakes.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they can speak with a member of the management team when they wish. No negative comments were made regarding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Moana House had policies and procedures which were reviewed within the last two years, reflected current good practice and met legislative requirements. The general manager operates a document control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 quality and risk management systems documented are understood and implemented during service delivery. These processes include regular internal audits, incident and accident reporting and analysis, health and safety monitoring, infection control management and data recording and complaints management processes. If an area of deficit is found, corrective measures are put in place to address the situation.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collected is shared with staff as sighted in meeting minutes and confirmed during staff interviews. Quality data information is used by management to inform ongoing service planning and to ensure residents’ needs are being met. Corrective measures put in place are evaluated during monthly staff meetings.  Any issues of concern are reported to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Moana House is a member of the Community Trusts in Care Aotearoa (CTCA) and as a group they undertake joint projects for the improvement of services. Currently, falls, urinary tract infections and pressure injuries are benchmarked against eight other community trust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plan in place which shows the strategies used to manage known and/or potential risks effectively. The risk/hazard register sighted was reviewed in January 2016 and was updated to match the current health and safety requirements. Documentation clearly sets out the steps to be followed should a new hazard be found. Newly identified hazards are documented and reported at board level, with staff, residents and visitors as appropriate. Staff confirmed that they understood and implemented documented hazard identification processes.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the CNL confirmed their understanding related to the obligations in relation to essential notification requirements including pressure injury reporting under Section 31 of the Health and Disability Services (Safety) Act 2001. (Two section 31 reports and an infection outbreak report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by the service in relation to reporting, recording and monitoring adverse events. The service records all incidents and accidents on a specific form. Any follow up required is undertaken in a timely manner and outcomes are monitored by management.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confirmed that information gathered from incidents and accidents are used as an opportunity to improve services where indicated.  Incident and accident information is reported at staff and board monthly meetings and discussed at weekly management meetings as confirmed in minutes sighted. The review of residents’ files showed that family/whānau are informed of incidents or adverse events. This was confirmed during interview with family/whānau members.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that identify employment practice meet the requirements of legislation human resources management practices are implemented by the service. Job descriptions clearly described staff responsibilities and accountabilities. The six staff files reviewed showed that staff have completed an orientation programme with specific competencies for their roles. Staff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calendar in place for on-site education. This covers all aspects related to care provision. Education included regular staff attendance at off-site presentations and all staff confirmed during interview that they are supported and encouraged to undertake a wide range of education. The caregivers are encouraged to undertaken recognised aged care educational papers.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in a professional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related to staff skill mixes and experience is reflected in the roster and meets contractual requirements. Every shift is covered by a RN and at least one staff member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showed that staff are replaced when on annual leave or sick leave. Staff interviewed confirmed they have adequate staff on each shift to allow all tasks to be completed in a timely manner and that residents’ needs are met. Additional staff are rostered as required for example if there is an end stage palliative resident. This is supported by resident and families/whānau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and CNM work Monday to Friday and they share the after-hours on-call component. There are dedicated kitchen, laundry and housekeeping staff seven days a week. Activities are led by dedicated staff six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in place to ensure that residents receive medicines in a safe and timely manner. All medicines are prescribed by the GPs and are dispensed by the pharmacy. There is evidence that medications are reviewed regularly, allergies are documented and photos are present for identification. Medicines are securely stored. Medicine fridge temperatures are monitored and recorded regularly. There are no expired medications and a system is in place in returning expired or unwanted medications to the pharmacy. The controlled drugs register is correct and there is evidence of weekly stocktake. Six monthly stocktakes are also conducted by the pharmacist.</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by the 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observed during medication rounds complied with the medication administration policies and procedures. All staff have current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 Policies and procedures are in place in relation to self-administration.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 for improvement in relation to the “as required” medications has been fully implemented as evident in all reviewed medication records. </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documenting the indications for the use of topical medications in the medication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food safety, ordering, storage, cooking, reheating and food handling. A system is in place when receiving and using supplies. All meals are cooked and served onsite. Food temperatures are monitored and recorded regularly. Fridge and freezer temperatures are monitored and recorded daily.  All staff working in the kitchen have current food handling training. The staff demonstrated safe food handling practices when preparing meals. </w:t>
            </w:r>
          </w:p>
          <w:p w:rsidR="00EB7645" w:rsidRPr="00BE00C7" w:rsidP="00BE00C7">
            <w:pPr>
              <w:pStyle w:val="OutcomeDescription"/>
              <w:spacing w:before="120" w:after="120"/>
              <w:rPr>
                <w:rFonts w:cs="Arial"/>
                <w:b w:val="0"/>
                <w:lang w:eastAsia="en-NZ"/>
              </w:rPr>
            </w:pPr>
            <w:r w:rsidRPr="00BE00C7">
              <w:rPr>
                <w:rFonts w:cs="Arial"/>
                <w:b w:val="0"/>
                <w:lang w:eastAsia="en-NZ"/>
              </w:rPr>
              <w:t>Modified diets are provided for specified residents. Residents reported that they are offered an alternative meal. Resident’s weights are stable in reviewed resident’s records. Food supplements are provided for residents with weight changes.</w:t>
            </w:r>
          </w:p>
          <w:p w:rsidR="00EB7645" w:rsidRPr="00BE00C7" w:rsidP="00BE00C7">
            <w:pPr>
              <w:pStyle w:val="OutcomeDescription"/>
              <w:spacing w:before="120" w:after="120"/>
              <w:rPr>
                <w:rFonts w:cs="Arial"/>
                <w:b w:val="0"/>
                <w:lang w:eastAsia="en-NZ"/>
              </w:rPr>
            </w:pPr>
            <w:r w:rsidRPr="00BE00C7">
              <w:rPr>
                <w:rFonts w:cs="Arial"/>
                <w:b w:val="0"/>
                <w:lang w:eastAsia="en-NZ"/>
              </w:rPr>
              <w:t>A kitchen cleaning schedule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 term care plans are developed by the RNs. All reviewed care plans evidenced sufficiently detailed interventions to address the identified issues during the assessment process. The trends generated from the interRAI assessment are also addressed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provided activities that are appropriate to the needs, age and culture of the residents. Activities are planned to be physically and mentally stimulating. The resident’s profile gathered during the interview with the residents and their families are utilised to develop a personalised activity plan for each resident. Weekly activities are provided to all residents and posted in the common areas. Activity plans reflect the resident’s preferred activities and interests. A participation log was maintained. Interviewed residents and families reported satisfaction with the activities provided by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reviewed resident’s files have care plans in place but there is no evidence that care plans are formally evaluated by the RNs. Short term care plans are evaluated and the resident’s response to treatment is consistently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undertakes all requirements to meet building warrant of fitness requirements. The current warrant of fitness expires 16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surveillance data documented by staff is collated and monitored by the infection control co-ordinator.  This data is reported weekly at the management meetings and monthly at staff meetings as confirmed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data collected is appropriate to the size of this aged care setting as demonstrated in the infection control programme. The monthly analysis includes comparisons with the previous month, quality improvements and any significant comments. Urinary tract infections are benchmarked via the Community Trusts in Care Aotearoa (CTCA).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prevention and control is connected to the risk management programme. There was one outbreak since the previous audit. All essential reporting was sighted with a clearly documented log of the number of people affected by the outbreak and a beginning and end date shown. Records are clearly maintained.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three residents using an enabler. The policies and procedures have good definitions of restraints and enablers. Staff demonstrated good knowledge about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87"/>
        <w:gridCol w:w="1280"/>
        <w:gridCol w:w="2671"/>
        <w:gridCol w:w="2958"/>
        <w:gridCol w:w="2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Indications of use of topical medications are not consistently documented in five out of 10 reviewed medication records.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Topical medications do not consistently have documented indications of use in the reviewed medication charts.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topical medications have documented indications of use in the medication records.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reviewed resident’s records have care plans developed but no evaluation was evident in all the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could be found to indicate the degree of achievement or response to the interventions shown in the care plans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evaluations are conducted to identify the degree of achievement reached for each goal set.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Moana House Trust Board</w:t>
    </w:r>
    <w:bookmarkEnd w:id="58"/>
    <w:r>
      <w:rPr>
        <w:rFonts w:cs="Arial"/>
        <w:sz w:val="16"/>
        <w:szCs w:val="20"/>
      </w:rPr>
      <w:tab/>
      <w:t xml:space="preserve">Date of Audit: </w:t>
    </w:r>
    <w:bookmarkStart w:id="59" w:name="AuditStartDate1"/>
    <w:r>
      <w:rPr>
        <w:rFonts w:cs="Arial"/>
        <w:sz w:val="16"/>
        <w:szCs w:val="20"/>
      </w:rPr>
      <w:t>25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