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Heatherlea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Heatherlea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2016</w:t>
      </w:r>
      <w:bookmarkEnd w:id="7"/>
      <w:r w:rsidRPr="009418D4">
        <w:rPr>
          <w:rFonts w:cs="Arial"/>
        </w:rPr>
        <w:tab/>
        <w:t xml:space="preserve">End date: </w:t>
      </w:r>
      <w:bookmarkStart w:id="8" w:name="AuditEndDate"/>
      <w:r w:rsidR="00A4268A">
        <w:rPr>
          <w:rFonts w:cs="Arial"/>
        </w:rPr>
        <w:t>12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has assessed the facility and service as able to provide hospital (geriatric and medical) level care for up to 19 residents in current rest home level beds.  Additionally the service has been assessed as suitable to use one extra bed in the dementia unit (already in use) on a short-term basis.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Heatherlea Rest Home is owned and operated by Radius Residential Care Limited and currently cares for up to 55 residents requiring rest home or dementia level care.  On the day of the audit, there were 49 residents. The manager is well qualified and experienced for the role and supported by a clinical nurse leader and the regional manager.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A partial provisional audit was also completed to assess the suitability of the service to provide hospital level care in 19 previously rest home only rooms.  These rooms have been assessed as suitable to provide hospital (medical and geriatric) level care (dual-purpose).  Additionally, one bed (already in use with approval) in the dementia unit was assessed as suitable for use on a short-term basis.  This increases the number of beds in the dementia unit to 21.</w:t>
      </w:r>
    </w:p>
    <w:p w:rsidRPr="00A4268A">
      <w:pPr>
        <w:spacing w:before="240" w:line="276" w:lineRule="auto"/>
        <w:rPr>
          <w:rFonts w:eastAsia="Calibri"/>
        </w:rPr>
      </w:pPr>
      <w:r w:rsidRPr="00A4268A">
        <w:rPr>
          <w:rFonts w:eastAsia="Calibri"/>
        </w:rPr>
        <w:t>Residents, relatives and the GP interviewed spoke positively about the service provided.</w:t>
      </w:r>
    </w:p>
    <w:p w:rsidRPr="00A4268A">
      <w:pPr>
        <w:spacing w:before="240" w:line="276" w:lineRule="auto"/>
        <w:rPr>
          <w:rFonts w:eastAsia="Calibri"/>
        </w:rPr>
      </w:pPr>
      <w:r w:rsidRPr="00A4268A">
        <w:rPr>
          <w:rFonts w:eastAsia="Calibri"/>
        </w:rPr>
        <w:t xml:space="preserve">The certification audit has identified areas for improvement around timeliness of general practitioner (GP) assessments on admission.  </w:t>
      </w:r>
    </w:p>
    <w:p w:rsidRPr="00A4268A">
      <w:pPr>
        <w:spacing w:before="240" w:line="276" w:lineRule="auto"/>
        <w:rPr>
          <w:rFonts w:eastAsia="Calibri"/>
        </w:rPr>
      </w:pPr>
      <w:r w:rsidRPr="00A4268A">
        <w:rPr>
          <w:rFonts w:eastAsia="Calibri"/>
        </w:rPr>
        <w:t xml:space="preserve">The partial provisional audit has identified that prior to the admission of hospital level residents, the service is required to provide appropriate staff training, purchase suitable equipment, and employ appropriate staff. </w:t>
      </w:r>
    </w:p>
    <w:p w:rsidRPr="00A4268A">
      <w:pPr>
        <w:spacing w:before="240" w:line="276" w:lineRule="auto"/>
        <w:rPr>
          <w:rFonts w:eastAsia="Calibri"/>
        </w:rPr>
      </w:pPr>
      <w:r w:rsidRPr="00A4268A">
        <w:rPr>
          <w:rFonts w:eastAsia="Calibri"/>
        </w:rPr>
        <w:t>The service has exceeded the required standard around communication.</w:t>
        <w:tab/>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nurse leader are responsible for the day-to-day operations.  Goals are documented for the service with evidence of regular reviews.  A quality and risk management programme is embedded.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there is a registered nurse on call at all times.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manager is responsible for controlling entry to the service, with assistance from the clinical nurse leader.  Comprehensive service information is available.  A registered nurse completes initial assessments, including InterRAI assessments.  The registered nurses complete care plans and evaluations within the required timeframes.  Care plans are based on the InterRAI findings and other assessments.  Residents and relatives interviewed confirmed they were involved in the care planning and review process.  The general practitioner reviews the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integrated programme offered meets the individual recreational preferences and abilities of both groups of residents.     </w:t>
      </w:r>
    </w:p>
    <w:p w:rsidRPr="00A4268A" w:rsidP="00621629">
      <w:pPr>
        <w:spacing w:before="240" w:line="276" w:lineRule="auto"/>
        <w:rPr>
          <w:rFonts w:eastAsia="Calibri"/>
        </w:rPr>
      </w:pPr>
      <w:r w:rsidRPr="00A4268A">
        <w:rPr>
          <w:rFonts w:eastAsia="Calibri"/>
        </w:rPr>
        <w:t>Medicines are stored and managed appropriately in line with legislation and guidelines.  Staff responsible for the administration of medications attend annual medication education.  General practitioners review residents’ medications at least three monthly.</w:t>
      </w:r>
    </w:p>
    <w:p w:rsidRPr="00A4268A" w:rsidP="00621629">
      <w:pPr>
        <w:spacing w:before="240" w:line="276" w:lineRule="auto"/>
        <w:rPr>
          <w:rFonts w:eastAsia="Calibri"/>
        </w:rPr>
      </w:pPr>
      <w:r w:rsidRPr="00A4268A">
        <w:rPr>
          <w:rFonts w:eastAsia="Calibri"/>
        </w:rPr>
        <w:t xml:space="preserve">Meals are prepared on site under the direction of a contracted agency and a dietitian.  The menu is varied and appropriate.  Individual and special dietary needs are catered.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The additional room in the dementia unit is suitable to be used for this purpose and the 19 proposed dual-purpose beds are suitable to cater for hospital level residents.  Reactive and planned maintenance is in place.  Chemicals are stored safely throughout the facility. All bedrooms are single occupancy.  There are adequate numbers of communal toilets and showers.  There is sufficient space to allow the safe movement of residents around the facility using mobility aids. There are communal dining rooms and lounges in the two wings. The internal areas are able to be ventilated and heated.  The outdoor areas are safe and easily accessible.  The facility is appropriately cleaned.  A laundry contractor is providing an appropriate service, with the balance of laundry being undertaken onsite.  Emergency systems and equipment are in place in the event of a fire or external disaster.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restraint coordinator maintains a register.  During the audit, no residents were using restraints or enablers.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acted-upon, evaluated and reported to relevant personnel in a timely manner.  There has been one outbreak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30"/>
        <w:gridCol w:w="1280"/>
        <w:gridCol w:w="92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Heatherlea’s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care staff (ten healthcare assistants (HCAs), nine who work in the rest home and dementia unit and one who works only in the rest home, one registered nurse (RN), one activities coordinator, the clinical nurse leader, and one diversional therapist) confirmed their understanding of the Code.  Six residents (all rest home level) and three relatives (two dementia level, one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for written general consents.  Cardiopulmonary resuscitation status is evident in the seven resident files reviewed (four rest home [including the file of a younger person disability contract] and the files of three residents in the dementia unit).  Registered nurses interviewed confirmed verbal consent is obtained when delivering care.  Family members confirmed they were involved in decisions that affect their relative’s lives.  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being managed in a timely manner meeting requirements determined by the Health and Disability Commissioner (HDC).  There is evidence of lodged complaints being discussed in manager and staff meetings.  All complaints received have been documented as resolved, with appropriate corrective actions implemented.  This includes three complaints lodged with the DHB, one of which was unsubstantiated and the other two of which have had corrective action plans implemented and completed.  The service has worked alongside the DHB to address and resolve the issues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The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An annual resident satisfaction survey was completed in January 2016 and the results showed that the majority of respondents reported overall resident experience as being good or very good.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family/whānau,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(team)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with training for registered nurses from the DHB and involvement in the ACE programme for all HCAs.  Residents’ falls are analysed in detail.  Outcomes for the service are monitored with benchmarking across all Radius facilities.  Feedback is provided to staff via the various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during the day, five days a week and on the evening shift seven days per week, and a registered nurse on call at all times.  Residents and family describe healthcare assistants as being caring and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11 adverse event reports reviewed met this requirement.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by improving communication with staff, resulting in improved communication and satisfaction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Heatherlea is part of the Radius Residential Care group.  The service currently provides rest home and dementia level care for up to 55 residents.  On the day of the audit, there were 28 rest home and 21 dementia level residents.  This includes one rest home level resident on a young person with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well trained and experienced and has been in the role for four and a half years.  A clinical nurse manager and the Radius regional manager support her.  Radius has an overall business/strategic plan and Heatherlea has a facility quality and risk management programme in place for the current year.  The business plan includes business goals including the development of the service to provide hospital level care.  Progress toward goals is regularly reported.  The organisation has a philosophy of care, which includes a mission statement.  The facility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 has been assessed as able to provide hospital level care in 19 rest home rooms.  These 19 rooms will be dual-purpose.  The service has previously (recently) provided hospital level care to one resident with a dispensation from HealthCERT.  This audit has also assessed the service as able to provide dementia level care for one extra resident in the dementia unit on a short-term basis.  This bed is already in use with HealthCERT and has DHB approval.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The clinical nurse leader/RN covers during the temporary absence of the facility manager.  The regional manager or facility manager of the other Radius facility in New Plymouth is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clinical nurse leader will continue to provide temporary cover for the facility manager, in her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(facility manager, regional manager and clinical nurse leader/RN), the GP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Minutes are maintained and a corrective action plan is developed and implemented after each meeting to ensure issues identified are addressed.  Annual resident and relative surveys are completed with results communicated to residents and staff.  Survey results reflect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including those standards relating to the Health and Disability Services (Safety) Act 2001.  The clinical managers group, with input from facility staff, reviews the service’s policies at a national level every two years.  Clinical guidelines are in place to assist care staff.  Updates to policies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and established processes to collect, analyse and evaluate data, which is utilised for service improvements.  Corrective actions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representative interviewed confirmed their understanding of health and safety processes including recent law changes.  They have completed stage one, two and three external health and safety training and are booked to attend the transitional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Workplace Safety Management Practice.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with post-fall assessments completed, sensor mats, landing mats and intentional rounding being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11 incident/accident forms (eight falls, five skin tears, and two pressure injuries) identified that forms are fully completed and include follow-up by a registered nurse.  Neurological observations are done two hourly for any suspected injury to the head.  The clinical manager is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was able to identify situations that would be reported to statutory authorities including (but not limited to) infectious diseases, serious accidents, and unexpected death.  A section 31 notification was completed regarding an externally acquired grade 3 pressure injury, and public health was notified of an outbreak in October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Human resources policies include recruitment, selection, orientation and staff training and development.  Seven staff files reviewed (the clinical nurse leader, one registered nurse, two HCAs, the diversional therapist, the kitchen manager and one domestic staff member) included a comprehensive recruitment process which included reference checking, signed employment contracts and job descriptions, police checks,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 clinical nurse leader has completed their InterRAI training.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healthcare assistants work in the dementia unit.  Ten have completed the ACE dementia NZQA standards.  The other three HCAs are enrolled and have not yet worked in the dementia unit for one year.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All staff have completed manual handling, hoist training, and have completed hoist competencies.  A series of training sessions are planned to upskill staff around meeting the needs of residents requiring hospital level care.  It is planned that new staff employed will be included in these training sessions.  Advertisements have been prepared and are ready to be placed when/if hospital level care is approved for the recruitment of registered nurses.  The clinical nurse leader and the administrator and facility manager are completing a leadership course.  A weeklong mentorship programme is scheduled at another Radius service that provides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 policy is in place for determining staffing levels and skills mix for safe service delivery.  Rosters implement the staffing rationale.  There is a registered nurse (the clinical nurse leader) on site Monday to Friday during the day and a registered nurse on afternoon shift seven days per week.  A registered nurse is on call at all times.  The current roster is sufficient to cater for the one additional resident in the dementia unit.  Activities are provided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 proposed roster has been developed to provide satisfactory staffing to accommodate hospital level residents.  This will be completed in increments of three, six, ten and then twenty hospital level residents. This will be in-line with the equivalent decreasing number of rest home level residents.  The proposed roster has been developed using the Radius staffing rationale.  A proposed roster has been developed in graded stages, to cater to the increased acuity and need of residents, as the number of hospital level residents increases.  This includes one registered nurse being on duty each shift over 24-hours per day from the admission of the first hospital level resident, and increasing HCA hours as hospital level resident numbers increase.  The roster has used the Radius clinical hour’s calculator as a basis for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HCA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Needs assessors are involved in the pre-entry screening for rest home and dementia unit residents.  The manager screens potential residents prior to entry to ensure the service can meet the residents assessed needs.  Seven admission agreements reviewed align with the requirements of the Age Related Residential Care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The CNL checks medications delivered against the medication chart.  Registered nurses and medication competent HCAs administer medications.  All staff administering medications had completed medication competencies annually.  Medications are stored correctly and the medication fridge is monitored daily.  All eye drops had been dated on opening and no expired medications were found.  There were no residents self-medicating on the day of audit.  Standing orders are not in use.  Two RNs have syringe driver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Medication charts are pharmacy generated and met the legislative requirements.  All medication charts had been reviewed at least three monthly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an established medicines management system in place.  There are policies and procedures in place for safe medicine management that meet legislative requirements.  There is a dedicated medicine room and medicines trolley.  The existing system will be capable of accommodating the change in service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The kitchen is overseen by a professional food catering company who provide the summer and winter four week rotating menu (and annual dietetic review of the menu – October 2015) along with recipes and menu advice.  The company undertakes six monthly audits onsite.  There are two qualified cooks rostered to run the kitchen along with a casual cook.  A resident nutritional profile is developed for each resident on admission, including likes and dislikes, and provided to the kitchen.  Dietary needs including modified meals are accommodated.  Special foods include diabetic diets.  The cook (interviewed) was able to describe alternative meals offered for residents with dislikes and what to do for weight loss.  Meals are plated in the main kitchen for the rest home and they are delivered in a bain-marie for plating in the dementia unit.  The kitchen service is able to cater for the one additional resident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completed food safety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and freezers in the main kitchen and the dementia unit fridge are monitored and recorded.  End cooked temperatures are monitored.  All dry goods were dated and in sealed containers stored off the floor.  All perishable foods in the main kitchen and unit fridge were dated.  A cleaning schedule has been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commented positively on the meals provided and have the opportunity to feedback on the service directly to cooks and through resident meetings and surveys.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 hot box has been ordered to assist in the meal service for hospital residents.  The kitchen is able to cater to the needs of hospital level residents including the provision of altered texture meals and varying dietary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InterRAI assessments, including risk assessments, are completed on admission and reviewed at least six monthly or if there is a change in the resident’s condition.  The outcomes of assessments were reflected in the long-term care plans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all describe the support required to meet the resident’s goals and needs as identified through the assessment process.  Residents and relatives confirmed they were involved in the care planning and review process.  There is documented evidence of resident/relative involvement in the development of care plans.  Short-term care plans were in use for changes in health status.  Care staff interviewed reported the care plans are readily available and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and HCAs follow the care plan and report progress against the care plan at each shift at handover.  Handover is verbal and written.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care charts, food and fluid charts, and behaviour monitoring charts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resident’s health changes the RN initiates GP or allied health advice.  If external medical/specialist advice is required, this will be by referral from the GP.  The residents interviewed state the support received meets their expectations.  Relatives interviewed confirmed the care of their relatives meets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were sighted.  Resident files include a continence assessment and plan as applicable.  </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dressing supplies.  Wound assessments, wound management plans and wound evaluations were in place for one wound being treated.  One lesion was being monitored.  There were no pressure injuries being treated on the day of audit.  The RNs have access to specialist nursing wound care management advice through the district health board (DHB).  Appropriate pressure injury interventions were documented in the care plans of residents identified as high risk of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diversional therapist and an activities officer employed for 65 hours per week Monday to Friday.  On the weekend, activities are arranged for HCAs to run and there is a church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activity programme for the residents in the dementia unit and a monthly programme of activities for the rest home residents.  A copy of the programme is available in the front entrance and in each resident’s room.  The activities provided meet the recreational preferences and abilities of the resident groups and include music, art and crafts, exercises, walks, intellectual and sensory activities.  Activities reflect ordinary patterns of life and include planned visits into the community and visits by community groups to the home.  Volunteers are involved in the activity programme with painting of nails and befriending individual residents.  The current resources are able to cater for the extra resident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time is spent with residents who choose not to, or are unable to participate in group activities.  A van, with hoist, is used for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A ‘getting to know me’ questionnaire is completed with each resident/family on admission and is the basis for a plan of what the resident wishes to participate in.  A monthly review of the individual’s activities is undertaken and a six monthly evaluation is incorporated into the RN six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Residents commented they have the opportunity to provide suggestions for activities directly and through the resident meetings and surveys.  They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is evaluated at least six monthly or earlier if there is a change in health status.  Evaluations are documented.  Changes in health status are updated on the care plan.  Six monthly reassessments have been completed by the CNL using InterRAI LTCF for all residents and for those who have had a significant change in health status.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a wound specialist.  Other specialist referrals are made by the GPs.  Referrals and options for care were discussed with the family, as evidenced in clinical notes.  The staff provided examples where a resident’s condition had changed and the resident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Chemicals sighted, were labelled correctly and stored safely throughout the facility.  Safety data and product sheets were available.  Staff have completed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will be no changes to the existing waste management system, which will be able to accommodate hospital level care.  There is a sluice and sanitiser already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1 September 2016. The facility is a three level building with extended gradual ramp access and stair access.  There is a maintenance person who completes the monthly planned maintenance schedule for the internal and external building.  When rooms are vacated, they are refurbished if necessary.  Maintenance requests are recorded and addressed.  Essential contractors are available 24-hours and a gardener is employed part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is tested and tagged two yearly.  Clinical equipment is checked and calibrated annually.  In each wing, hot water temperatures are monitored and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There is sufficient space in communal areas for residents to sit safely in lounge chairs.  External areas include grounds with seating and shade areas that are well maintained and easily accessible.  There is a dedicated outside smoking area that is sheltered.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All rooms and areas in the proposed dual-purpose areas are suitable to provide hospital level care.  Oxygen and suction equipment are already on site.  The service has yet to purchase all the equipment required for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communal showers with vacant/engaged signs and/or privacy locks.  This includes catering for the one extra resident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an adequate number of toilets and showers of sufficient size, and close to the proposed dual rooms, to meet the needs of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allow for the safe use and manoeuvring of mobility aids.  Residents are encouraged to personalise their bedrooms as viewed on the day audit.  The additional room in the dementia unit is suitable for the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rooms identified to be dual-purpose rooms are of a size to allow for the provision of hospital level care including the use of hoists and contain wash hand basins.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 the rest home area include a large dining room and separate lounge along with a separate recreational room.  In the dementia unit there is a roomy lounge with adjacent dining room and kitchenette and a separate ‘quiet lounge’ and is able to cater for the additional resident.  Seating and space is arranged to allow both individual and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Communal rooms and corridors are easily accessible and large enough to cater for the needs of hospital level residents.  One lounge is proposed to be a lounge for those with higher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other than personal clothing, is laundered off site.  There is a laundry person employed Monday to Friday.  When dirty laundry is collected, it is placed in an outside storage facility.  The laundry contractor then collects it Monday to Friday.  Cleaners are employed and cleaning trolleys were well equipped and stored in designated locked cupboards.  The staff have access to a range of chemicals, cleaning equipment and protective clothing.  The chemical provider monitors the use and effectiveness of laundry and cleaning chemicals and data safety sheets and information on the use of chemicals was available in all relevant areas.  The facility was well maintained and clean on the days of audit.  Residents interviewed were satisfied with the cleanliness of their rooms and environment.  The standard of cleanliness and laundry process is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service reviewed and approved the evacuation plan on 12 October 1999.  There are emergency management plans in place to ensure health, civil defence and other emergencies are included.  Six monthly fire evacuation drills are conducted.  Fire training and security situations are part of orientation of new staff (link 1.2.7.4).  There are adequate supplies in the event of a civil defence emergency including food, water and gas cooking (one barbeque).  A contracted service supplies a generator when required.  A minimum of one person trained in first aid and cardiopulmonary resuscitation (CPR) is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bathrooms/toilets and lounge/dining room areas.  Residents were observed to have their call bells in close proximity.  A call indicator is outside each room and there are call panels in the nurse station in the dementia unit and at reception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The building is secure afterhours with doorbell access at the main entrance.  Staff undertake a security check each evening after the external doors are locked.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existing call bell system is appropriate for hospital level care.  There is no change required to the existing emergency management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including the additional room in the dementia unit have external windows that open, allowing plenty of natural light.  The resident bedrooms have heaters, which can be adjusted.  Communal areas are covered by a central heating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19 proposed dual-purpose rooms are already in use as rest home level rooms.  The rooms have sufficient natural lighting, and are well-heated.  No changes are required for the provision of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Heatherlea has an established infection control programme.  The infection control programme, its content and detail, is appropriate for the size, complexity and degree of risk associated with the service.  It is linked into the incident reporting system and the Radius KPIs.  The clinical nurse leader is the designated infection control nurse with support from the quality management committee (infection control team).  Minutes are available for staff.  Audits have been conducted and include hand hygiene and infection control practices.  Education is provided for all new staff on orientation (link 1.2.7.4).  The Radius infection control programme was last reviewed in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at Heatherlea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via Bug Control in May 2015.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Radius head office.  Infections are part of the key performance indicators.  Outcomes and actions are discussed at quality meetings and staff meetings.  If there is an emergent issue, it is acted upon in a timely manner.  Reports are easily accessible to the acting facility manager.  An outbreak (norovirus) in October 2015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enablers and no residents with restraints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3"/>
        <w:gridCol w:w="1280"/>
        <w:gridCol w:w="6644"/>
        <w:gridCol w:w="1683"/>
        <w:gridCol w:w="20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service is in the process of employing additional RNs and healthcare assistants to accommodate the higher level of care.  Staff have not yet been employed to implement the proposed roster and this will require addressing prior to the admission of hospital level residents.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additional RNs and healthcare assistants have not yet been employed for hospital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Ensure that sufficient staff with appropriate skills, are employed (including sufficient registered nurses for 24 hour cover) to provide hospital level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New staff will be orientated as per the existing service processes.  The service is planning an induction day for new staff to cover all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service has not yet employed sufficient staff to implement the proposed roster to provide hospital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Ensure that all newly appointed staff are provided with an orientation relevant to the provision of hospital level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 has planned several training sessions to upskill all staff (including staff to be employed for hospital level care), to meet the needs of hospital level residents.  Two of the three current registered nurses (including the clinical nurse leader) have current syringe driver competencies.  All staff have completed manual handling and hoist-use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Staff have not yet had all training required to meet the needs of hospital level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Ensure all staff have appropriate training to meet the needs of hospital level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 files, four rest home (including one YPD) and three dementia unit were reviewed.  The RN had completed initial assessments and initial care plans within twenty-four hours of admission in all resident files reviewed.  InterRAI assessments and long-term care plans were completed within twenty-one days of admission.  Long-term care plans reviewed were evaluated at least six monthly or earlier if required by health changes.  In five of seven resident files reviewed, the GP had completed admission visits within the required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of two residents admitted to the dementia unit did not evidence GP admission visits within two working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GP admission visits occur within two working days.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Heatherlea currently has sufficient equipment available in order to meet the needs of rest home and dementia level residents.  All equipment is maintained, serviced and calibrated.  Equipment required to cater for hospital level residents has been identified and purchase has been approved but it will not be ordered until approval is received to provide hospital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Equipment appropriate to meet the needs of hospital level residents has not yet been purchased.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Ensure appropriate equipment is available to meet the needs of hospital level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3283"/>
        <w:gridCol w:w="80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number of ways of communicating with residents, families and staff, including an open door policy for management, resident meetings, regular telephone contact and emails for families and staff meetings and the electronic sign-in system for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January 2016, staff feedback indicated that staff felt they were not fully informed and that information between the management team and staff could be improved.  It was identified that this in turn would provide a safer and more effective service to residents.</w:t>
            </w:r>
          </w:p>
          <w:p w:rsidR="00EB7645" w:rsidRPr="00BE00C7" w:rsidP="00BE00C7">
            <w:pPr>
              <w:pStyle w:val="OutcomeDescription"/>
              <w:spacing w:before="120" w:after="120"/>
              <w:rPr>
                <w:rFonts w:cs="Arial"/>
                <w:b w:val="0"/>
                <w:lang w:eastAsia="en-NZ"/>
              </w:rPr>
            </w:pPr>
            <w:r w:rsidRPr="00BE00C7">
              <w:rPr>
                <w:rFonts w:cs="Arial"/>
                <w:b w:val="0"/>
                <w:lang w:eastAsia="en-NZ"/>
              </w:rPr>
              <w:t>A one page weekly newsletter for staff was developed that contains inspirational quotes, provides information about upcoming education sessions, meeting times and dates, identifies which manager is on call, highlights upcoming events and provides information about new policies and procedures.  After the newsletters commenced, feedback indicated that they could be a little negative so they were changed to be more encouraging and more light-hearted.</w:t>
            </w:r>
          </w:p>
          <w:p w:rsidR="00EB7645" w:rsidRPr="00BE00C7" w:rsidP="00BE00C7">
            <w:pPr>
              <w:pStyle w:val="OutcomeDescription"/>
              <w:spacing w:before="120" w:after="120"/>
              <w:rPr>
                <w:rFonts w:cs="Arial"/>
                <w:b w:val="0"/>
                <w:lang w:eastAsia="en-NZ"/>
              </w:rPr>
            </w:pPr>
            <w:r w:rsidRPr="00BE00C7">
              <w:rPr>
                <w:rFonts w:cs="Arial"/>
                <w:b w:val="0"/>
                <w:lang w:eastAsia="en-NZ"/>
              </w:rPr>
              <w:t>In July 2016, residents were surveyed with four questions to gauge the impact of the newsletters on residents.  Of the replies received, 91% of residents were satisfied with communication and information provided by staff, compared to 82% in the satisfaction survey in January 2016.  Other responses evidenced that 91% were satisfied that requests and concerns were responded to in a timely and appropriate manner compared to 80% in January 2016.  Furthermore, 83% indicated that they feel more informed about what is happening at Heatherlea since the survey in February 2016 (this question was not specifically asked in the previous survey).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Heatherlea Care Centre</w:t>
    </w:r>
    <w:bookmarkEnd w:id="58"/>
    <w:r>
      <w:rPr>
        <w:rFonts w:cs="Arial"/>
        <w:sz w:val="16"/>
        <w:szCs w:val="20"/>
      </w:rPr>
      <w:tab/>
      <w:t xml:space="preserve">Date of Audit: </w:t>
    </w:r>
    <w:bookmarkStart w:id="59" w:name="AuditStartDate1"/>
    <w:r>
      <w:rPr>
        <w:rFonts w:cs="Arial"/>
        <w:sz w:val="16"/>
        <w:szCs w:val="20"/>
      </w:rPr>
      <w:t>11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