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Lifecare Cambridge Limited - Lifecare Cambridge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Lifecare Cambridge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Lifecare Cambridge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2016</w:t>
      </w:r>
      <w:bookmarkEnd w:id="7"/>
      <w:r w:rsidRPr="009418D4">
        <w:rPr>
          <w:rFonts w:cs="Arial"/>
        </w:rPr>
        <w:tab/>
        <w:t xml:space="preserve">End date: </w:t>
      </w:r>
      <w:bookmarkStart w:id="8" w:name="AuditEndDate"/>
      <w:r w:rsidR="00A4268A">
        <w:rPr>
          <w:rFonts w:cs="Arial"/>
        </w:rPr>
        <w:t>12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Lifecare Cambridge Ltd is continuing to provide rest home and hospital level care to a maximum of 57 residents. Apart from ongoing improvements to the interior and exterior of the building, the manager stated there have been no changes to the scope and size of the services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provider’s contract with the district health board. The audit process included the review of policies and procedures, the review of residents’ and staff files, observations, interviews with residents, family, management and staff. Two general practitioners were interviewed by telephone; both expressed satisfaction with the care and services being provided.</w:t>
      </w:r>
    </w:p>
    <w:p w:rsidRPr="00A4268A">
      <w:pPr>
        <w:spacing w:before="240" w:line="276" w:lineRule="auto"/>
        <w:rPr>
          <w:rFonts w:eastAsia="Calibri"/>
        </w:rPr>
      </w:pPr>
      <w:r w:rsidRPr="00A4268A">
        <w:rPr>
          <w:rFonts w:eastAsia="Calibri"/>
        </w:rPr>
        <w:t xml:space="preserve">There were nine areas identified that require improvement. Six of these were ongoing from the previous surveillance audit in 2015 and relate to quality and risk management systems and the analysis of adverse events. There is still no clear, systematic, planned or coordinated approach to quality and risk. The quality plan has not been updated and limited evidence of monitoring and measuring the quality of service delivery. Although reported incidents were being collated monthly into various categories, there was insufficient evidence this was being fully analysed. </w:t>
      </w:r>
    </w:p>
    <w:p w:rsidRPr="00A4268A">
      <w:pPr>
        <w:spacing w:before="240" w:line="276" w:lineRule="auto"/>
        <w:rPr>
          <w:rFonts w:eastAsia="Calibri"/>
        </w:rPr>
      </w:pPr>
      <w:r w:rsidRPr="00A4268A">
        <w:rPr>
          <w:rFonts w:eastAsia="Calibri"/>
        </w:rPr>
        <w:t>The audit team ascertained that there was no imminent risk to resident welfare or safety and maintained the overall risk rating as moderate, but reduced the timeframe for implementation of corrective actions to 60 days. Three new areas for improvement relate to the management of consumer information, ongoing education for the infection control officer and accuracy of the system for evaluating infections.</w:t>
      </w:r>
    </w:p>
    <w:p w:rsidRPr="00A4268A">
      <w:pPr>
        <w:spacing w:before="240" w:line="276" w:lineRule="auto"/>
        <w:rPr>
          <w:rFonts w:eastAsia="Calibri"/>
        </w:rPr>
      </w:pPr>
      <w:r w:rsidRPr="00A4268A">
        <w:rPr>
          <w:rFonts w:eastAsia="Calibri"/>
        </w:rPr>
        <w:t>The outcome of the audit was notified to the portfolio manager who manages the aged residential contract for the district health board and a director of the company.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satisfaction with the caring manner and respect that staff show towards each resident.</w:t>
      </w:r>
    </w:p>
    <w:p w:rsidRPr="00A4268A">
      <w:pPr>
        <w:spacing w:before="240" w:line="276" w:lineRule="auto"/>
        <w:rPr>
          <w:rFonts w:eastAsia="Calibri"/>
        </w:rPr>
      </w:pPr>
      <w:r w:rsidRPr="00A4268A">
        <w:rPr>
          <w:rFonts w:eastAsia="Calibri"/>
        </w:rPr>
        <w:t>There were no residents whom identify as Maori residing at the service at the time of audit.  There are no known barriers to residents accessing the service.  Services are planned to respect the culture, values and beliefs of all the residents as individuals and as a collective.</w:t>
      </w:r>
    </w:p>
    <w:p w:rsidRPr="00A4268A">
      <w:pPr>
        <w:spacing w:before="240" w:line="276" w:lineRule="auto"/>
        <w:rPr>
          <w:rFonts w:eastAsia="Calibri"/>
        </w:rPr>
      </w:pPr>
      <w:r w:rsidRPr="00A4268A">
        <w:rPr>
          <w:rFonts w:eastAsia="Calibri"/>
        </w:rPr>
        <w:t xml:space="preserve">Written consents are obtained from the residents’ families/whanau, enduring power of attorney (EPOA) or appointed guardians, when necessary. </w:t>
      </w:r>
    </w:p>
    <w:p w:rsidRPr="00A4268A">
      <w:pPr>
        <w:spacing w:before="240" w:line="276" w:lineRule="auto"/>
        <w:rPr>
          <w:rFonts w:eastAsia="Calibri"/>
        </w:rPr>
      </w:pPr>
      <w:r w:rsidRPr="00A4268A">
        <w:rPr>
          <w:rFonts w:eastAsia="Calibri"/>
        </w:rPr>
        <w:t>Residents are encouraged and supported to maintain strong community and family links.</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complaints register and the information is recorded to meet the requirements of the Code. There were no outstanding complaints at the time of audit.</w:t>
      </w:r>
    </w:p>
    <w:p w:rsidRPr="00A4268A">
      <w:pPr>
        <w:spacing w:before="240" w:line="276" w:lineRule="auto"/>
        <w:rPr>
          <w:rFonts w:eastAsia="Calibri"/>
        </w:rPr>
      </w:pPr>
      <w:r w:rsidRPr="00A4268A">
        <w:rPr>
          <w:rFonts w:eastAsia="Calibri"/>
        </w:rPr>
        <w:t xml:space="preserve">The documented complaint management system is congruent with Right 10 of the Health and Disability Consumer Code of Rights. A small number of complaints have been received and resolved since the previous audit and the manager has not been notified of any complaints received by the Office of the Health and Disability Commission.  Residents and families interviewed during the audit were aware of how to raise concerns and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Governance is provided by a group of directors, one of whom is updated weekly by the manager. Policies are being reviewed regularly as our some aspects of service delivery. </w:t>
      </w:r>
    </w:p>
    <w:p w:rsidRPr="00A4268A">
      <w:pPr>
        <w:spacing w:before="240" w:line="276" w:lineRule="auto"/>
        <w:rPr>
          <w:rFonts w:eastAsia="Calibri"/>
        </w:rPr>
      </w:pPr>
      <w:r w:rsidRPr="00A4268A">
        <w:rPr>
          <w:rFonts w:eastAsia="Calibri"/>
        </w:rPr>
        <w:t xml:space="preserve">Practices for the management of adverse events were known and implemented by all levels of staff. Staff were being managed according to human resources management policy. New staff are recruited in ways that tests their suitability for the position. Orientation to the service and its policies and procedures, including emergency systems, is provided to all new staff.  Ongoing staff education is planned and co-ordinated to ensure that staff receive relevant and timely training on subjects related to older people. Training occurs at least monthly through in-service education sessions and presentations by external experts. Staff competency assessments and performance appraisals were occurring regularly.  </w:t>
      </w:r>
    </w:p>
    <w:p w:rsidRPr="00A4268A">
      <w:pPr>
        <w:spacing w:before="240" w:line="276" w:lineRule="auto"/>
        <w:rPr>
          <w:rFonts w:eastAsia="Calibri"/>
        </w:rPr>
      </w:pPr>
      <w:r w:rsidRPr="00A4268A">
        <w:rPr>
          <w:rFonts w:eastAsia="Calibri"/>
        </w:rPr>
        <w:t>There are sufficient numbers of clinical and auxiliary staff allocated on all shifts, seven days a week to meet the needs of residents who were assessed as requiring either hospital or rest home level care. Registered nurses (RNs) are on site 24 hours a day seven days a week.</w:t>
      </w:r>
    </w:p>
    <w:p w:rsidRPr="00A4268A">
      <w:pPr>
        <w:spacing w:before="240" w:line="276" w:lineRule="auto"/>
        <w:rPr>
          <w:rFonts w:eastAsia="Calibri"/>
        </w:rPr>
      </w:pPr>
      <w:r w:rsidRPr="00A4268A">
        <w:rPr>
          <w:rFonts w:eastAsia="Calibri"/>
        </w:rPr>
        <w:t>The service provider is managing consumer information with the exception of one area that requires an improvement.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Residents are admitted by a qualified and trained registered nurse who completes an initial assessment and then develops, with the resident, family and existing community supports and health care professionals, a care plan specific to the resident.  When there are changes to the resident’s needs a short term plan is developed and integrated into a long term plan, as needed. The service meets the contractual time frames for all short and long term care plans.  All care plans are evaluated at least six monthly.  All but six residents have completed interRAI assessments due to being admitted privately, however, individualised written assessments, care plans and evaluations within required timeframes were evidenced.</w:t>
      </w:r>
    </w:p>
    <w:p w:rsidRPr="00A4268A" w:rsidP="00621629">
      <w:pPr>
        <w:spacing w:before="240" w:line="276" w:lineRule="auto"/>
        <w:rPr>
          <w:rFonts w:eastAsia="Calibri"/>
        </w:rPr>
      </w:pPr>
      <w:r w:rsidRPr="00A4268A">
        <w:rPr>
          <w:rFonts w:eastAsia="Calibri"/>
        </w:rPr>
        <w:t>Residents are reviewed by their GP on admission and assessed thereafter either monthly or three monthly by their GP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Activity coordinators provide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 xml:space="preserve">A safe medicine administration system was observed at the time of audit.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Residents are being provided with safe, age appropriate facilities that are appropriately furnished. There are sufficient toilet, shower and hand washing facilities. All bedrooms are spacious and furnished to meet the residents' needs and likes. Residents can access safe outdoor areas. There is a reactive maintenance process and a long term maintenance programme in place. </w:t>
      </w:r>
    </w:p>
    <w:p w:rsidRPr="00A4268A">
      <w:pPr>
        <w:spacing w:before="240" w:line="276" w:lineRule="auto"/>
        <w:rPr>
          <w:rFonts w:eastAsia="Calibri"/>
        </w:rPr>
      </w:pPr>
      <w:r w:rsidRPr="00A4268A">
        <w:rPr>
          <w:rFonts w:eastAsia="Calibri"/>
        </w:rPr>
        <w:t>Safe and hygienic cleaning and laundry services are provided for residents and the facility is clean.  All chemicals were stored securely.</w:t>
      </w:r>
    </w:p>
    <w:p w:rsidRPr="00A4268A">
      <w:pPr>
        <w:spacing w:before="240" w:line="276" w:lineRule="auto"/>
        <w:rPr>
          <w:rFonts w:eastAsia="Calibri"/>
        </w:rPr>
      </w:pPr>
      <w:r w:rsidRPr="00A4268A">
        <w:rPr>
          <w:rFonts w:eastAsia="Calibri"/>
        </w:rPr>
        <w:t>All residents' areas are well lit and ventilated with at least one opening window. The home has effective heating throughout.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Lifecare has established and well known processes in place for determining safe and appropriate restraint and enabler use. On the days of audit the restraint register listed seven residents assessed and approved for bed rails to be in place when in bed for safety reasons. There is evidence that the way the service carries out assessment for restraint use, obtains consent and approval, monitors restraint interventions and conducts regular evaluation and review processes, meets all the requirements of the Restraint Minimisation and Safe Practice Standards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service has an appropriate infection prevention and control management system. The infection control programme is implemented and provides a reduced risk of infections to staff, residents and visitors.  Relevant education is provided for staff, and when appropriate, the residents and their families.  The infection surveillance results for each month are reported and discussed at staff and resident meetings. However the infection control nurse has not completed formal infection control education to maintain their knowledge of current practice and infection data is not being collated accurately and there is no comparison of data to determine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0"/>
        <w:gridCol w:w="1280"/>
        <w:gridCol w:w="99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on the main corridor wall in full view for residents, caregivers and visitors and also presented on the inside of residents’ bedroom doors.</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Advance directives are signed by the resident if competent.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a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The facility has access to an advocate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local shopping centre or community and school groups regularly visiting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complaints register and interview with staff and management confirmed a responsive and transparent complaints/concerns management process. The complaints register contains information about the four complaints received since the previous audit. Three of these are related to staff about staff. The documents show that each matter was investigated and managed to achieve resolution with all parties. There was evidence of ongoing communication with all people involved and external advocacy being offered. Residents and family members interviewed confirmed knowledge of the ways to lodge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evidenced in the admissions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that were interviewed reported that the Code was explained to them on admission.   The Code of Rights and process was also regularly discussed at family/resident meetings. Family/whanau and residents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families/whanau interviewed reported that the staff are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No concerns in relation to residents’ abuse or neglect were mentioned.  The family members reported that staff know their relatives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clinical manager reported that there are no barriers to Maori accessing the service.  At the time of the audit there were no Maori residents.  The caregivers interviewed demonstrated good understanding of practices that identified the needs of Maori residents and importance of whanau and their Maori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standard operating procedure documents that the admission process includes assessing specific cultural, religious and spiritual beliefs, which includes any cultural nutritional requirements.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Families and relatives interviewed were happy with the care provided by those staff who also identify with a different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recently attended training in professional conduct and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clinical manager, registered nurses, caregivers and care planning.  Policies and procedures are linked to evidence-based practice. There are regular visits by residents’ GPs, links with the mental health services, the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At the time of audit all residents spoke English.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incidence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2016 annual Business Plan, and interview with one director and the manager confirmed the ways in which directors are involved in the planning and coordination of services. The business plan contains a mission statement, vision, core values and annual goals. The directors visit on site every three months and the manager has almost daily contact with the principal director by telephone and email to discuss progress against goals. </w:t>
            </w:r>
          </w:p>
          <w:p w:rsidR="00EB7645" w:rsidRPr="00BE00C7" w:rsidP="00BE00C7">
            <w:pPr>
              <w:pStyle w:val="OutcomeDescription"/>
              <w:spacing w:before="120" w:after="120"/>
              <w:rPr>
                <w:rFonts w:cs="Arial"/>
                <w:b w:val="0"/>
                <w:lang w:eastAsia="en-NZ"/>
              </w:rPr>
            </w:pPr>
            <w:r w:rsidRPr="00BE00C7">
              <w:rPr>
                <w:rFonts w:cs="Arial"/>
                <w:b w:val="0"/>
                <w:lang w:eastAsia="en-NZ"/>
              </w:rPr>
              <w:t>The manager who has a nursing background has been in the role for eight years and stated they were attending DHB forums and annual conferences to maintain knowledge and skills required to manage an aged care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14 hospital level care residents and 35 rest home residents. The facility accepts people for short term respite care when required. There were no people under the age of 65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state that the registered nurse/clinical coordinator is the delegated acting manager during the general manager’s absence, with support from the other RNs and senior staff and the directors. The manager and clinical coordinator confirmed that this arrangement has been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risk plan show that all actual and potential risks are identified. The manager, clinical coordinator and senior staff state they are monitoring the day to day quality of care and where it is obvious that improvements need to be made, actions are initiated and risks are mitigated, but this is not being documented. Visual inspection reveals improvements in the environment, care records review and staff interviews show improvements in the care planning and overall care of residents and in the management of staff since 2015, but there is a lack of documentation about why and how these improvements came about. There is still no systematic approach to quality and risk. The methods that are in place, such as collating of incident reports, is not coordinated or linked to service outcomes. This has been an ongoing concern and the corrective actions related to quality and risk from the previous audit in 2015 have not been fully addressed. There is no evidence that resident safety or other service delivery areas are at risk, therefore the risk rating remains as moderate but the timeframe for corrective action has been reduced to 60 days.  </w:t>
            </w:r>
          </w:p>
          <w:p w:rsidR="00EB7645" w:rsidRPr="00BE00C7" w:rsidP="00BE00C7">
            <w:pPr>
              <w:pStyle w:val="OutcomeDescription"/>
              <w:spacing w:before="120" w:after="120"/>
              <w:rPr>
                <w:rFonts w:cs="Arial"/>
                <w:b w:val="0"/>
                <w:lang w:eastAsia="en-NZ"/>
              </w:rPr>
            </w:pPr>
            <w:r w:rsidRPr="00BE00C7">
              <w:rPr>
                <w:rFonts w:cs="Arial"/>
                <w:b w:val="0"/>
                <w:lang w:eastAsia="en-NZ"/>
              </w:rPr>
              <w:t>Policies are being reviewed yearly by the manager, the reasons for amendments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Risks to individual residents, staff and the organisation are managed through regular clinical risk assessments, monthly environmental hazard inspections and close monitoring of staff who are identified as being at risk.  This was confirmed by discussion with the health and safety coordinator and the clinical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event records for 2015-2016 show that sufficient detail about each incident is recorded. The event forms record where GPs or family have been notified. The manager is now collating the number and type of incidents each month, where and when these occur. The monthly report includes a general narrative but there is no comparison of month by month data, and the narrative fails to identify trends, risk areas or where action is required.  Staff interviews revealed these are being discussed at RN, HCA and health and safety meetings, but this is not adequately recorded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Interview and records reviewed showed that the manager is aware of the instances that require notification reporting. There have been two instances in the past two years, where issues related to RNs have been passed on to the New Zealand Nursing Council.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personnel records were reviewed, including records of newly appointed staff, staff on different shifts and with different roles, contained evidence of formal appointment via interview, referee and police checks. Each file had the person’s experience and records of educational achievement.  A new RN and a new healthcare assistant confirmed they had engaged in an orientation programme specific to their role which included competency assessments and being buddied for a variety of shift before commencing duties. The records showed that each RN is maintaining current first aid certificates and has a current practising certificate. Records are kept of the General Practitioner’s membership with the NZ Medical Council, the dispensing pharmacist’s practising certificate and the physiotherapist’s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Individual training records for each staff member show attendance at mandatory and other in-service education which is related to the care of older people. A RN is delegated as the training coordinator and sets a yearly staff training calendar. This includes a range of relevant teaching subjects being delivered monthly by the RNs or external presenters. Due to staff changes there is only one RN who has completed training in interRAI. Contingencies for updating interRAI assessments and plans have been put in place with an external consultant until the two recently recruited RNs are trained and competent to complete these. The manager confirmed attendance at conferences and local forums for updates related to the role. There is a requirement in standard 3.4.1 for the infection prevention and control coordinator to attend regular education as required in the provider’s agreement with the DHB (the ARC contract). Staff performance appraisals are occurring as required in ARC D17.7.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a documented staffing rationale which determines the ratio of staff to residents according to resident acuity level (for example, a ratio of four HCAs and one RN when there are more than 16 hospital level care residents). On the day of audit there are fourteen hospital level care residents, and two HCAs rostered for each shift. There were two HCAs in the rest home for the morning and afternoon shift.  There are seven RNs employed. Rosters reviewed showed two RNs are on site for morning and afternoon shifts and one at night. Another RN is available on call 24 hours a day seven days a week to meet the contractual requirements. There were two HCAs and a RN rostered on for night shift. The staff interviewed stated that sufficient numbers of staff are allocated to meet the needs of residents. Interviews with staff and observations reveal there were enough hours allocated for cleaning and laundry and activities. Staffing meets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 and auxiliary staff notes.  On the day of admission full and preferred name, next of kin, date of birth, gender, ethnicity/religion, NHI, the name of the GP, authorised power of attorney, allergies, next of kin and phone numbers were all completed in each resident’s admission record reviewed.  The resident's name and date of birth and national health index (NHI) are used as the unique identifier on all residents’ information sighted, however not all residents documents were identified with unique identifiers.    No personal or private resident information was observed to be on public display during the days of audit.  Archived records were being safely held on site for ten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Staff contact the facility manager or nurse manager if enquiries are made by potential perspective residents and/or their family members and if outside working hours an appointment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when an error occurs, as well as definitions for ‘over the counter’ medications that may be required by residents.   At the time of audit no residents were self-administering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locked medicine trolleys in the treatment room.  A locked safe is used for controlled medications and the medicine register was sighted.  Medications that require refrigeration are stored in a separate fridge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14 medicine charts sighted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that has been reviewed by a dietitian.  Where unintentional weight loss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 kitchen also offers residents a variety of cereals for breakfast, a main option for lunch including a desert and a lighter menu option for dinner.   All main meals are supported by morning and afternoon tea which includes home baking.  There is a water cooler situated in the rest home facility where residents/family can obtain cold water.</w:t>
            </w:r>
          </w:p>
          <w:p w:rsidR="00EB7645" w:rsidRPr="00BE00C7" w:rsidP="00BE00C7">
            <w:pPr>
              <w:pStyle w:val="OutcomeDescription"/>
              <w:spacing w:before="120" w:after="120"/>
              <w:rPr>
                <w:rFonts w:cs="Arial"/>
                <w:b w:val="0"/>
                <w:lang w:eastAsia="en-NZ"/>
              </w:rPr>
            </w:pPr>
            <w:r w:rsidRPr="00BE00C7">
              <w:rPr>
                <w:rFonts w:cs="Arial"/>
                <w:b w:val="0"/>
                <w:lang w:eastAsia="en-NZ"/>
              </w:rPr>
              <w:t>All meals are cooked and plated in the kitchen and then trolleyed to the two separate dining rooms.  Residents have the option of trays in their rooms. All residents have their breakfast in their bedrooms and are otherwise encouraged to have their lunch and evening meals in the dining rooms to encourage appetites and socialisation.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and registered nurse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for all non-private paying residents the electronic interRAI assessments, with specific assessment tools for residents remaining paper based.  Assessments are carried out by a registered nurse appropriate to the level of care of the resident and includes falls, skin integrity, and challenging behaviour, nutritional needs, continence, and communication, end of life, self-medication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ulcer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seven residents’ files reviewed have electronic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is individual and specific to the resident with interventions and evaluations sighted.  The health care assistants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included diversional therapy care plans identifying the resident’s individual diversional, motivational and recreational requirements showing documented evidence of how these are managed.  The files showed input from the nurse manager, registered nurse, care and activity staff and medical and allied health services.  The registered nurse and healthcare assistants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they were very happy with the quality of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 and healthcare assistants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preference of the choices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one activity co-ordinator who works Monday – Friday, a total of 35 hours per week.  The weekly activities plan/calendar sighted is developed based on the resident’s individual needs and interests and can be easily adapted and changed depending on the resident’s physical ability, interest and reaction at the time. The activity coordinator advertises the upcoming activities on the calendar by providing this to residents on the notice boards through the facility.   Regular activities include daily newspaper reading and exercises, church services, ‘happy hour’, regular visiting entertainment.  All public holidays and special events are celebrated.   For residents who wish to remain in their rooms, activities and one to one interaction is offered and supported by staff.   The health care assistants interviewed stated that they have access to activities to support residents after hours and on the weekends.  Staff promote social interaction by inviting and encouraging all residents to join in activities together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is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 also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are not responding to the services/interventions being delivered, are discussed with their GP and family/whanau.  Short term care plans are sighted for wound care, infections, and changes in mobility, changes in food and fluid intake and skin care.  The medical and nursing assessments of these short term care plans are documented in the residents’ progress notes.  The health care assistants interviewed demonstrated good knowledge of short term care plans and reported that they are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eight GPs (from three medical centres) who visits the residents at the facility which also includes an after-hours phone service.  The RN in discussion with the GP will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GPs interviewed reported that appropriate referrals to other health and disability services are well managed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safe and appropriate storage and disposal of waste, infectious or hazardous substances is described in policy, as is storage and use of chemicals. The care and domestic staff interviewed demonstrated awareness of safety issues around managing waste and hazardous substances. Used continence products are disposed of appropriately. The service recycles and minimises waste as much as possible. Observations on site and review of reports from the local governing body confirmed that management of waste complies with legislation and local government requirements. Staff were observed on the days of audit to be using the readily available personal protective equipment. The provider meets the requirements of the aged residential care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significant upgrading to the interior and exterior of the facility. This includes the completion of a refurbishment in one wing of the rest home. This has been added to the evacuation plan. The hospital and main corridors have new flooring, fireproofing of walls, upgrades to individual bedrooms and ablution areas, purchase of 20 hi-low electronic beds for the hospital wing, purchase of safe and easy to move chairs, a new dining room in the rest home, external ramps and new gardens. The building and chattels are in good repair and fit for purpose for the people who reside in the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testing and tagging is completed by a certified electrician annually; records show this was completed in January 2016. All fire safety equipment is checked monthly by an external service agency, this occurred on day two of the audit. Calibrations of scales and medical equipment and checking of hoists occurs annually. The tags on equipment and documentation in maintenance logs show maintenance occurred in April and June 2016. There is a current building warrant of fitness which expires 17 June 2017. The health and safety officer and maintenance person interviewed and documents reviewed, confirmed that environmental inspections occur monthly and maintenance requests are attended to as soon as possible.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hazards are reported and the sighted hazard register is current and updated regularly. Visual inspection revealed that external areas are safe and meet the needs of the resident group. Seating is safe and suitable for older people and there is sufficient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of the water outlet in every resident room is tested monthly, as was confirmed by interview with maintenance staff and review of documents. Records show that hot water temperatures in resident areas do not exceed 45 degrees.  Of the 49 bedrooms 22 have ensuite shower and toilet, 18 have hand basins and nine of the rest home bedrooms do not. There are a sufficient number of communal bathrooms for those residents who do not have their own shower and toilet. A shower table is in use for the hospital residents who cannot mobilise.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various configurations for bedrooms. There are single occupants in each of the rest home bedrooms but the manager stated that double occupancy would be considered and some rooms could accommodate this. The hospital wing has two rooms designated male and female with three beds, one was unoccupied. Four of the hospital rooms have two beds and six rooms are for single occupants. All the viewed bedrooms were spacious and uncluttered. Residents with mobility aids were observed to be moving around the home and in their bedrooms with ease. The residents interviewed expressed satisfaction with their rooms and the spaces they 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Hospital and rest home areas are separated into two distinct locations. The hospital area has a large lounge where the majority of residents are supported by staff to eat at meal times. Those who can manage their own meals are provided with lap tables. Movies, ball games and musical entertainment is provided in this room. Visitors are offered the option to visit with the resident in their bedroom and some were observed to be visiting in the large lounge. There are smaller seating areas located throughout the home.  A new rest home dining area has been created which is totally separate from the activities room and is within easy walking distance from resident’s bedrooms. Residents and family members interviewed expressed satisfaction with the layout of the facility and communal areas. Rest home resident were observed to be accessing the external walking areas and enjoying the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services are provided to a high standard. Interview with the domestic supervisor who has been in the role for 15 years and other cleaning and laundry staff confirmed that staff follow documented processes and that there are systems for monitoring the effectiveness of cleaning and laundry. Records show the chemical supplier undertakes monthly checks of the washing machine, titration and Ph level tests of chemicals in use, and ensure that chemical safety sheets are up to date and in place. Staff conduct environmental audits every few months of random areas throughout the home, checks that personal protective equipment is being used and the laundry person seeks resident satisfaction at least annually.  The domestic supervisor oversees 10 staff and ensures they have been orientated to their role, attend ongoing education in safe chemical handling, food safety and work cooperatively with dieticians for nutrition. The supervisor engages in performance appraisals with these staff every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only change in cleaning and laundry services has been contracting a new chemical supplier in a bid to improve the effectiveness of cleaning products.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Exit doors and windows are checked at dusk. Security incidents are reported and staff interviews showed that security matters have been managed. </w:t>
              <w:br/>
              <w:br/>
              <w:t xml:space="preserve">Records sighted show that trial fire evacuations are occurring six monthly, most recently in July 2016. Fire suppression systems are checked monthly by an external service. Staff interviews and review of personnel files provides evidence of current training in emergency preparedness. There is at least one registered nurse on site and another on call twenty-four hours a day, seven days a week. All the RNs and some care staff hold current first aid certificates. Emergency equipment is accessible, stored correctly, not expired, and is stocked to a level appropriate to the service setting.  </w:t>
              <w:br/>
              <w:br/>
              <w:t xml:space="preserve">The facility has emergency lighting, stored torches, gas hobs and BBQ for cooking, extra food supplies, emergency water supply, blankets, and cell phones for use during power outages. </w:t>
              <w:br/>
              <w:br/>
              <w:t xml:space="preserve">Call bells are accessible/within easy reach, and are available in all resident areas (eg, bedrooms, ablution areas, ensuite toilet/showers). Staff conduct regular checks of these. Residents interviewed said staff respond to call bells in a timely manner. </w:t>
              <w:br/>
              <w:br/>
              <w:t>Emergency and security systems meet the requirements of this standard and the aged residential care contract.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good natural light, safe ventilation, and effective heating. Each bedroom has heaters which can be individually controlled. Residents and family members interviewed stated the home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infection control coordinator and is responsibility for following the programme as defined in the infection control manual, however has not completed formal infection control education (Refer criterion 3.4.1).  Infections are monitored by using standardised definitions to identify infections, surveillance, changes in behaviours, monitoring of organisms related to antibiotic use and the monthly surveillance record.  Infection control is discussed at each staff meetings.  If there is an infectious outbreak this is reported to staff, management and where required to the DHB and public health departments.  Infection data is not being collated accurately each month and there is no comparison of data to determine trends. (Refer criterion 3.5.1)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staff communication book, one to one,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manager/registered nurse has the role of infection prevention and control coordinator.  Infection control issues are discussed at staff and resident meetings. The facility has the support of a clinical infection control specialist nurse who is available for advice on infection prevention. Advice can also be sought from different external sources including the laboratory diagnostic services and GP.  The registered nurse and health care assistants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organisation uses to minimise infections.  This is supported by an infection control manual and policies and procedures that support specific areas including managing sharps, managing multi-drug resistant organisms, exposure of blood and body fluids, personal protective equipment, single use items, outbreak management, cleaning disinfecting and sterilisation, waste management, construction and renovations.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health care assistants interviewed were able to demonstrate good infection prevention and control techniques and awareness of standard precautions, such as hand washing.  Hand washing of staff is reviewed regularly by the quality assurance manager.  Infection control in-service education sessions are held and resident education is provided, as and when appropriate.  However, the infection control nurse has not completed formal infection control education to maintain their knowledge of current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however infection data is not being collated accurately.   The monthly analysis of the infections also does not include comparison with the previous month, reason for increase or decrease, trends and actions taken to reduce infections.   The service monitors urinary tract infections, acute wound infections and other systemic infections, skin infections, eye infections, respiratory illness (upper and lower) chronic special infections.  Antibiotic use is also monitored and evidenced as discussed with the GP.  Short term care plans are developed and this information is fed back and discussed with staff and where appropriate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complies with the requirements of the standard. Seven residents have bed rails in place for safety reasons. There were no enablers in use. Review of the restraint register and residents’ records and staff interviews show there is understanding of the requirements around use of restraint. Staff knowledge about restraint minimisation is tested by the completion of questionnaires at least bi-annually. Information on the provider’s philosophy of restraint minimisation occurs at orientation and ongoing education is mandatory for all staff to attend annually. This was sighted in the annual education plan and in individual staff education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clearly describes the processes and agreements required for approval. Responsibility for restraint coordination is delegated to the restraint coordinator who is a registered nurse. The coordinator’s role is documented. Documents sighted and staff interviews show that approval for restraint is always based on the initial assessment for restraint use. The decision to seek approval is made by the restraint coordinator with input from the clinical coordinator, the resident’s GP, the resident and/or their family. The restraint coordinator with input from the clinical coordinator and manager determine the need for staff education, the need for family discussion, and the indications for use of various forms of restraint, and any monitoring, observation and evaluation requirements. Approval for ongoing restraint needs is reviewed every six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on admission and at regular intervals to ensure the parameters around restraint use are clearly identified. Residents’ records reviewed showed that alternatives to restraint interventions are considered, the circumstances that indicate restraint use are appropriate and the safety of the resident is taken into account.  All the assessments reviewed had been undertaken by the restraint coordinator with input from other RNs and carers. The assessment includes identification details of the resident, the potential effects of restraint use on the resident and their family/whanau, the risks associated with the use of the particular form of restraint and the management and evaluation of those risks, any events in the resident’s life that may have an influence on their care or behaviour (eg, trauma or abuse), general needs of the resident, and specific cultural needs (where applicable) and how these would be best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restraint is used as a last resort, as stated in policy.  The restraint assessment form includes investigating alternative strategies, such as de-escalation strategies or placing the resident in a bed that lowers towards the floor, before implementing restraint. The restraint register and review of monitoring forms shows that the frequency and extent of monitoring is determined on an individual basis. On the days of audit, the seven residents with bedrails in place were being monitored two to three hourly. Documentation of restraint use is held in the residents' files.  Monitoring forms, completed by caregivers, are held in a separate location, readily accessible to caregivers. These include details about changing position in bed, toileting and other cares provided. There was evidence of bedrails being removed when new risks associated with their use were identified, and in one instance recently the need to use a bedrail for the resident’s safety was agreed overnight with input from the RN on call. (The restraint coordinator works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and review of the restraint in use for each resident takes place six-monthly. This was seen in the restraint register and in residents’ files where restraint is being used.  This review assesses the following: alternative strategies explored; desired outcome and whether it is being achieved; the duration of restraint; and the impact of restraint on the resident, staff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quality review of restraint occurred in June.  Records sighted and staff interviews showed that this included a review of policies and procedures, a summary of the extent and types of restraint in use, the ways that restraint is actively minimised, checking adherence to monitoring and review protocols and consideration of the restraint education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6860"/>
        <w:gridCol w:w="2480"/>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documents and staff and management interview reveal there is no clear, systematic or coordinated approach to monitoring and measuring the quality of clinical service delivery or overall organisational performance, except in the domestic service where surveys and spot checks monitor the effectiveness of cleaning and laundry.  The quality policy and the quality plan do not describe systems for quality assurance and how this is monitored and measured. For example, the quality plan lacks measureable goals, there are no documented quality indicators and subsequently no methods for measuring achievement of these. There is no designated quality coordinator or committee who oversee quality and risk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still not understood or implemented a robust quality and risk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 quality and risk management system which effectively monitors and measures service outcomes and ensure all staff understand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general manager, health and safety officer, clinical coordinator, domestic supervisor, two RNs and health care assistants (HCAs) and review of documents reveal that the only aspects of service delivery currently utilising a quality assurance approach are domestic services who conduct and report the results of regular audits and surveys. Incident reports are being collated and a simple analysis and narrative report is documented by the general manager each month. The monthly statistics are presented at health and safety, RN and HCA meetings, but the minutes do not reflect any discussion about these. Staff say these are not discussed in terms of trends or preventative actions at the meetings, although actions do occur. Relative and resident surveys are being conducted but there is no evidence that feedback is being further investigated and used to identify where service improvements are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clearly described or implemented quality management system. Apart from the audits and surveys conducted by domestic services there is no regular and transparent monitoring of service delivery or stated measurements for assessing the quality of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and implement a quality management system which reliably measures and monitors service delivery to identify where improvements are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meeting minutes, incident and infection control reports and staff interviewed show that the number of events, when and where these occur are being tracked, collated and reported, but there is minimal analysis and no evaluation. The general manager conducts annual surveys of relatives and residents but there is no documented evidence that negative feedback is investigated or that actions occur as a result.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not identified in the quality policy or plan. Information is being gathered (for example collation of event reports) but this is not being rigorously or systematically analysed to determine trends and identify where and what improvements are required. Staff attest to actions being taken but this is not recorded nor is there any evaluation to show that actions have resulted in remedying the problems.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Describe what is considered to be quality improvement data, gather relevant information for analysis to determine cause and effect, initiate remedial actions where required and evaluate the effectiveness of any actions taken.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current quality plan and policy and interview with the general manager, revealed minimal change to the previous documentation and systems. The quality plan is dated 2015-2016 but the contents are the same as previous years. The quality plan and policy do not contain current or well defined quality objectives and there are no methods for monitoring progress.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clearly described quality objectives or indicators and no implemented processes for measuring achievement against the quality and risk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quality objectives that are measurable and implement systems for monitoring and testing these...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incident reports, meeting minutes and staff and management interviews failed to evidence the ways in which corrective actions are determined, who has responsibility for enacting these, timeframes for carrying them out or how the success of the actions will be measured. There were no obvious methods for evaluating that corrective actions are effective. The majority of incident reports for 2015-2016 do not document corrective actions. There is no evidence in meeting minutes and the general manager could not describe a planned and coordinated approach to determining remedial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planning and coordination in determining the most effective corrective actions, ensuring actions are implemented and evaluating whether or not the actions have had the desired effect.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where improvements are required, the actions required to remedy these are documented, that the actions are monitored to ensure these occur and that the effectiveness of the actions is evaluated to check that the issues are resolved.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sighted 2015-2016 incident reports contain sufficient detail about the event, time and place, impact and what happened immediately afterward. The majority of incident reports do not contain descriptions of corrective actions needed to prevent recurrence. Interview of the manager and documents reviewed demonstrate that event information is collated into graphs which display monthly totals of falls (witnessed/unwitnessed) skin tears, medicine errors, resident aggression, and staff injury, where the event happened and what time. There is no tracking by resident. The narrative report attached to each month lacks evidence of any in depth analysis or review of the information. There is no comparison of events month by month or trending to show increase or decrease in the type of event and no stated intentions related to the data. The overall number of incidents is reported at staff meetings; staff stated these are discussed but not in any reflective or analytical way and where there are decisions to take actions, these are not recorded. Subsequently there is no written evidence that remedial actions have occurred or that the effects of these are discussed and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that incidents are used as opportunities for improvement or to identify and manage risk. The incident data is not adequately analysed or compared to identify areas of risk, where improvements are needed or if improvements or negative trends have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Demonstrate who incident and accident data is used to make service improvements and identify and manage risk.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admission, full and preferred name, next of kin, date of birth, gender, ethnicity/religion, NHI, the name of the GP, authorised power of attorney, allergies, next of kin and phone numbers were all completed in each resident’s admission record reviewed, however all seven files viewed did not have unique identifiers evidenced on progress notes, short term care plans nor ‘snapshot’ activity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sample of files reviewed did not contain unique identifiers on progress notes, short term care plans, consents and all snapshot activity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documents related to residents contain uniquely identifying information (for example, NHI and full name or date of birth.</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3.4.1</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a suitably qualified person who maintains their knowledge of current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in-service education sessions are held for staff and facilitated by external resources and staff at the time of audit were able to demonstrate good infection prevention and control techniques.  However, the infection control nurse has not completed any formal infection control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not completed formal infection control education to maintain their knowledge of current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complete infection control education.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monthly collation of residents with infections is recorded, however data is not being collected accurately.  Several residents from June 2015 through to June of 2016 were recorded twice in a month with the same infection.  Several residents with an infection in one month were recorded as a new resident with a new infection in the following month though it was the same infection.  Several residents with a change of antibiotics for the one infection were re-entered and added again as a new resident.  At staff meetings individual residents with infections are discussed to help reduce and minimise risk, however there is no monthly comparison of data to highlight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data is not being collected accurately and there is no comparison of data to determine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 systematic method for accurately collecting and comparing infection information.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Lifecare Cambridge Limited - Lifecare Cambridge</w:t>
    </w:r>
    <w:bookmarkEnd w:id="58"/>
    <w:r>
      <w:rPr>
        <w:rFonts w:cs="Arial"/>
        <w:sz w:val="16"/>
        <w:szCs w:val="20"/>
      </w:rPr>
      <w:tab/>
      <w:t xml:space="preserve">Date of Audit: </w:t>
    </w:r>
    <w:bookmarkStart w:id="59" w:name="AuditStartDate1"/>
    <w:r>
      <w:rPr>
        <w:rFonts w:cs="Arial"/>
        <w:sz w:val="16"/>
        <w:szCs w:val="20"/>
      </w:rPr>
      <w:t>11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