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Hampton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Hampton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June 2016</w:t>
      </w:r>
      <w:bookmarkEnd w:id="7"/>
      <w:r w:rsidRPr="009418D4">
        <w:rPr>
          <w:rFonts w:cs="Arial"/>
        </w:rPr>
        <w:tab/>
        <w:t xml:space="preserve">End date: </w:t>
      </w:r>
      <w:bookmarkStart w:id="8" w:name="AuditEndDate"/>
      <w:r w:rsidR="00A4268A">
        <w:rPr>
          <w:rFonts w:cs="Arial"/>
        </w:rPr>
        <w:t>21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Hampton Court is owned and operated by Radius Residential Care Limited and cares for up to 45 residents requiring rest home and hospital level care.  On the day of the audit, there were 44 residents.  A registered nurse, with experience in aged care management, manages the service.  A Radius regional manager and a clinical manager support her.  Residents, relatives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service has exceeded the standard around the exercise aspect of the activity programme provided.</w:t>
      </w:r>
    </w:p>
    <w:p w:rsidRPr="00A4268A">
      <w:pPr>
        <w:spacing w:before="240" w:line="276" w:lineRule="auto"/>
        <w:rPr>
          <w:rFonts w:eastAsia="Calibri"/>
        </w:rPr>
      </w:pPr>
      <w:r w:rsidRPr="00A4268A">
        <w:rPr>
          <w:rFonts w:eastAsia="Calibri"/>
        </w:rPr>
        <w:t>This audit has identified areas for improvement around InterRAI assessments due to difficulty accessing training and indications of use for ‘as required’ medications.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and procedures adhere with the requirements of the Code of Health and Disability Services Consumers’ Rights (the Code).  Residents and families are informed regarding the Code and staff receive ongoing training about the Code.  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manager are responsible for the day-to-day operations.  Goals are documented for the service with evidence of regular reviews.  A quality and risk management programme is embedded.  Corrective actions are implemented and evaluated where opportunities for improvements are identified.  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Registered nursing cover is provided 24 hours a day, seven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Primarily the registered nurses or clinical manager manages entry to the service.  There is comprehensive service information available.  A registered nurse completes initial assessments.  The registered nurses complete care plans and evaluations within the required timeframe.  Care plans are written in a way that enables all staff to clearly follow their instructions.  Residents and family interviewed confirmed they were involved in the care planning and review process.  Each resident has access to an individual and group activities programme.  The group programme is varied and interesting.  Medication is stored appropriately in line with legislation and guidelines.  Staff have had education around medication management and all staff who administer medications have completed a competency assessment.  Medications are stored and administered in line with appropriate guidelines and regulations.  General practitioners review residents at least three monthly or more frequently if needed.  Meals are prepared on site.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several have their own or a shared ensuite.  There is sufficient space to allow the movement of residents around the facility using mobility aids.  There are a number of small lounge and dining areas throughout the facility in addition to its main communal areas.  The internal areas are able to be ventilated and heated.  The outdoor areas are safe and easily accessible.  Cleaning and maintenance staff are providing appropriate services.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 restraint coordinator maintains a register.  There are currently no residents with enablers or restraint.  Staff are trained in restraint minimisation, challenging behaviour and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acted-upon, evaluated and reported to relevant personnel in a timely manner.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39"/>
        <w:gridCol w:w="1280"/>
        <w:gridCol w:w="93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Hampton Court policies and procedures are being implemented that align with the requirements of the Health and Disability Commissioner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care staff, (three healthcare assistants (HCAs) who work across the rest home and hospital, two registered nurses (RNs) and one activities coordinator) confirmed their understanding of the Code.  Seven residents (three hospital and four rest home level) and four relatives (three hospital and one rest home level)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Advanced directives are signed for separately.  There is evidence of discussion with family when the GP completed a clinically indicated not for resuscitation order.  Health 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seven resident files sampled (four from the rest home and three from the hospital) had a signed admission agreement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Residents interviewed confirmed that relative/family visiting could occur at any time.  The activities programme includes opportunities to attend events outside of the facility.  Residents are supported and encouraged to remain involved in the community.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were able to describe the process around reporting complaints.  A complaints register includes written and verbal complaints, dates and actions taken.  Three complaints were made in 2015 and two complaints in 2016 year to date.  All complaints received have been documented as resolved with appropriate corrective actions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The facility manager and/or clinical manager discuss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An annual resident satisfaction survey was completed in September 2015 and the results showed that overall resident experience was good or very good.  Residents and relatives interviewed confirmed that staff treat residents with respect.  Resident preferences are identified during the admission and care planning process and this includes family involvement.  Interviews with residents confirmed their values and beliefs were considered.  Interviews with HCAs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policy for the organisation, references local Māori healthcare providers regionally within New Zealand and provides recognition of Māori values and beliefs.  Family/whanau involvement is encouraged in assessment and care planning and visiting is encouraged.  Links are established with disability and other community representative groups as requested by the resident/family.  At the time of audit, no residents identified as Māori.  Cultural needs are addressed in the care plan.  Discussions with staff confirm that they are aware of the need to respond to cultural differences.  Cultural awareness training for the staff last occurred in February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meetings include discussions around professional boundaries and concerns as they arise.  Management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An annual in-service training programme is implemented as per the training plan with training for registered nurses from the DHB and involvement in the ACE programme for all HCAs.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falls are analysed in detail.  The service has been part of the 'do no harm' project.  Outcomes for the service are monitored with benchmarking across all Radius facilities and with other facilities through the DHB, for example, through the 'do no harm' project around falls.  Feedback is provided to staff via the various meetings.  There is a minimum of one registered nurse on each shift and residents and family described HCAs as being caring and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adverse events reviewed met this requirement.  Family members interviewed confirmed they are notified following a change of health status of their family member.  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Hampton Court is a Radius aged care facility located in Napier.  The facility is certified to provide care for up to 45 residents requiring hospital and rest home level care.  There are15 rest home beds and 30 dual-purpose beds.  On the day of the audit, there were 44 residents in total, 25 residents receiving rest home level care and 19 receiving hospital level care.  All of the residents were on the Aged Related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2016-2017 business plan describes the vision, values and objectives of Radius Hampton Court.  Annual goals are linked to the business plan and reflect regular reviews via regular meetings and monthly reports to the regional manager.  The facility manager reports monthly to the regional manager on a range of operational matters in relation to Hampton Court, including strategic and operational issues, incidents and accidents, complaints,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with many years’ experience in aged care management.  She has been in the role since 2005 and is supported by a clinical manager.  The clinical manager has been in the position six months and has been at Radius Hampton Court for 11 years, working as a RN.  The facility manager has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covers during the temporary absence of the facility manager.  The regional manager provides oversight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regional manager.  Discussions with the managers (facility manager, clinical manager and regional manager) reflected staff involvement in quality and risk management processes.  Resident meetings are bi-monthly.  Meeting minutes are maintained.  Annual resident and relative surveys are completed, with results communicated to residents and staff.  Survey results reflect high levels of satisfaction.</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clinical managers group, with input from facility staff, reviews the service’s policies at a national level every two years.  Clinical guidelines are in place to assist care staff.  Updates to policies included procedures around the implementation of InterRAI.</w:t>
            </w:r>
          </w:p>
          <w:p w:rsidR="00EB7645" w:rsidRPr="00BE00C7" w:rsidP="00BE00C7">
            <w:pPr>
              <w:pStyle w:val="OutcomeDescription"/>
              <w:spacing w:before="120" w:after="120"/>
              <w:rPr>
                <w:rFonts w:cs="Arial"/>
                <w:b w:val="0"/>
                <w:lang w:eastAsia="en-NZ"/>
              </w:rPr>
            </w:pPr>
            <w:r w:rsidRPr="00BE00C7">
              <w:rPr>
                <w:rFonts w:cs="Arial"/>
                <w:b w:val="0"/>
                <w:lang w:eastAsia="en-NZ"/>
              </w:rPr>
              <w:t>The quality-monitoring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is utilised for service improvements to a standard that exceeds the requirements.  Results are communicated to staff across a variety of meetings and reflected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The health and safety representative interviewed confirmed their understanding of health and safety processes.  He has completed the level two external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Radius has achieved tertiary level ACC Workplace Safety Management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Incident forms sampled (12) evidenced detailed investigations and corrective action plans following incidents.  Monthly aggregation of data is undertaken and outcomes are discussed at the quality improvement meeting.  Discussions with the facility manager and regional manager confirmed these actions are taken and discussed.  Neurological observations are carried out two hourly for any suspected injury to the head.  The clinical manager is involved in the adverse event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(one clinical manager, one RN, one cook, one maintenance person, one laundry, one housekeeper and two HCAs) reviewed, included a comprehensive recruitment process which comprised reference checking, signed employment contracts and job descriptions, police checks, completed orientation programmes and annual performance appraisals.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Registered nurses are supported to maintain their professional competency.  Two of the eight RNs are certified InterRAI competent with one RN beginning training 19 May 2016.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There is a minimum of one RN and two HCAs on site at any time.  The facility manager and clinical manager both work full time, Monday to Friday.  The clinical manager and clinical coordinator share the on-call 24/7 clinical duties with the support of the facility manager and administrator for any non-clinical concerns.  Staff working on the days of the audit, were visible and were attending to call bells in a timely manner, as confirmed by all residents interviewed.  Staff interviewed stated that overall the staffing levels are satisfactory and that the managers provide good support.  Residents and family members interviewed report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are protected from unauthorised access.  Entries are legible, dated and signed by the relevant HCA or nurse including designation.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clinical manager screens all potential residents prior to entry and records all admission enquires.  Residents and relatives interviewed confirmed they received information prior to admission and had the opportunity to discuss the admission agreement with the clinical manager.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ensure the discharge of residents occurs correctly.  Residents who require emergency admissions to hospital are managed appropriately and relevant information is communicated to the DHB (link tracer 1.3.3).  The service ensures appropriate transfer of information occurs.  Relatives interviewed confirmed they were kept well informed about all matters pertaining to residents, especially if there is a change in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 sighted.  Medication prescribed is signed as administered on the pharmacy-generated singing chart.  Indications for use were not always documented for ‘as required’ medications.  Registered nurses administer medicines.  All staff that administer medication are competent and have received medication management training.  The facility uses a blister pack medication management system for the packaging of all tablets.  The RN on duty reconciles the delivery and documents this.  Medication charts are written correctly by medical practitioners except around the prescription of ‘as required’ medications.  There was evidence of three monthly reviews by the GP.  No current residents self-administer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A food services manual is in place to guide staff.  A resident nutritional profile is developed for each resident on admission, and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kitchen manager and cooks follow a rotating seasonal menu, which has been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reasons for declining service entry to potential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Appropriate assessment tools (paper-based for some residents and InterRAI for some) were completed and assessments were reviewed at least six monthly or when there was a change to a resident’s health condition in files sampled.  Care plans are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in detail the support required to meet the resident’s goals and needs and identified allied health involvement under a comprehensive range of template headings.  Residents and their family/whānau are involved in the care planning and review process and either the resident or their family signed all initial and long-term care plans (sampled).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(including the clinical manager) and healthcare assistants follow the detailed and regularly updated care plans and report progress against the care plan each shift.  If external nursing or allied health advice is required the RNs will promptly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Food and fluid charts, monthly and more regular (when required) weight monitoring, turning charts, behaviour monitoring charts, catheter change charts and rounding charts (high supervision) were well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are in place for 12 residents with 19 minor wounds, which are being appropriately managed.  Four residents had 14 chronic wounds, all of which had appropriate assessments, plans and reviews.  The wound nurse specialist had provided input for two residents with multiple chronic wounds related to medical conditions.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interventions including intentional rounding, turning charts and food and fluid charts demonstrate interventions to meet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usually employs a diversional therapist for 24 hours per week and an activities assistant for 10.5 hours per week.  The diversional therapist position was recently, suddenly vacated and the service is currently interviewing for this position.  In the interim, the facility manager is supporting the activities assistant and working 30 hours per week to provide a varied activities programme.  Each resident has an individual activities assessment on admission and from this information an individual activities plan is developed as part of the care plan by the activities staff.  Residents are free to choose to participate in the group activities programme, or their individual plan.  Participation is monitored.  Group activities reflect ordinary patterns of life and include planned visits to the community.  All resident files sampled have a recent activities plan within the care plan and this is evaluated at least six monthly when the care plan is evaluated.  Residents and families interviewed commented positively on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developed with input and including feedback from residents.  The varied and interesting programme has exceeded the required standard in relation to the exercise programme provided to meet the needs of a specific group of residents.  Regular outings occur and there is engagement with the local community including a relationship with the local RSA.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In files sampled the long-term care plan was evaluated at least six monthly or earlier if there is a change in health status (link tracer 1.3.3).  There is at least a three monthly review by the GP.  All changes in health status are documented and followed up.  An RN signs care plan reviews.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reassessed.  Examples of close liaison with dietitians, physiotherapists, mental health staff and social workers were sighted in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worn.  Chemicals (sighted) were labelled correctly and stored safely throughout the facility.  Safety datasheets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 building has a number of alcoves and lounge areas.  There is a full-time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The external area is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Several bedrooms have their own ensuites and some have shared ensuites.  Others share communal facilities.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for cares to be provided and for the safe use and manoeuvring of mobility aids including those required by hospital level care residents.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main lounge and several smaller lounges and separate dining areas.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cleaning staff clean the facility.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in the on-site commercial laundry, by dedicated laundry staff.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There is a minimum of one first aid trained staff member on every shift and during outings.  The facility has an approved fire evacuation plan.  Fire drills take place every six months.  Smoke alarms, sprinkler system and exit signs are in place.  Gas barbeques and torches are available in the event of a power failure.  Emergency lighting is in place, which is regularly tested.  A civil defence kit is in place.  Supplies of stored water and food are held on site and are adequate for three days.  Electronic call bells are evident in resident’s rooms, lounge areas, and toilets/bathrooms.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kept locked from dusk to dawn.  The service utilises a security camera to promote resident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Hampton Court has an established infection control programme.  The infection control programme, its content and detail, is appropriate for the size, complexity and degree of risk associated with the service.  It is linked into the incident reporting system and the Radius KPIs. The clinical manager is the designated infection control nurse with support from the facility manager and the quality management committee (infection control team).  Minutes are available for staff.  Audits have been conducted and include hand hygiene and infection control practices.  Education is provided for all new staff on orientation. The Radius infection control programme was last reviewed in July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at Hampton Court is the designated infection control (IC) nurse.  There are adequate resources to implement the infection control programme for the size and complexity of the organisation.  The IC nurse and IC team (comprising the quality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recommended not to attend until the outbreak has been resolved.  Information provided to residents and visitors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Radius’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provided to Radius head office.  Infections are part of the key performance indicators.  Outcomes and actions are discussed at quality meetings and staff meetings.  If there is an emergent issue, it is acted-upon in a timely manner.  Reports are easily accessible to the acting facility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Restraint minimisation policies and procedures are comprehensive, and include definitions, processes and use of restraints and enablers.  There are no residents with restraint or enablers at Radius Hampton Court.  The service is committed to restraint minimisation and safe practice as evidenced in the restraint policy and interviews with the clinical manger and HCAs.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7"/>
        <w:gridCol w:w="1280"/>
        <w:gridCol w:w="4330"/>
        <w:gridCol w:w="4762"/>
        <w:gridCol w:w="1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eight RNs are certified InterRAI competent with one RN beginning training 19 May 2016.  The service has a goal to have one RN per 15 residents capable of InterRAI assessments.  Training was reported as having been difficult to access.  The resulting lack of trained InterRAI staff means not all contractual obligations around InterRAI have been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(one hospital and one rest home) admitted since July 2015 did not have an InterRAI assessment within three weeks of admission.  One further resident (hospital) did not have risk assessments reviewed using InterRAI in 2016.  This is due to a turnover in staff and difficulty accessing InterRAI training.  More RNs are currently being trained and this is beyond the control of the provider.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sufficient registered nurses are InterRAI trained to be able to meet contractual obligations.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charts (14 sampled), are written by the GP and reviewed at least three monthly.  All contained photographic evidence and documentation of allergies.  All medications charted documented the dose, frequency and route.  ‘As required’ medications sampled did not always document the indication for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Ten of fourteen medication charts sampled did not have an indication for use documented for every ‘as required’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prescriber documents an indication for use for all ‘as required’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522"/>
        <w:gridCol w:w="72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varied an interesting activities programme is provided that meets the needs of residents with varying abilities.  The activities assistant has developed a specific exercise programme to increase the social comfort and functional skills for a group of identified residents.  All residents are invited to attend this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January 2016, the activities assessment identified that the needs of a specific group of residents could be better met with a targeted exercise programme.  The exercise programme is directed at specific clients with long standing disabilities from chronic illness or disorder.  This model focused on improved range of movement in long standing upper body challenges and has been evaluated to enable changes or improvements along with effectiveness.  Four clients were selected for this programme to test the feasibility of it.  Sessions were held once a week in the main lounge under the supervision of the activities assistant who compiled the concept.</w:t>
            </w:r>
          </w:p>
          <w:p w:rsidR="00EB7645" w:rsidRPr="00BE00C7" w:rsidP="00BE00C7">
            <w:pPr>
              <w:pStyle w:val="OutcomeDescription"/>
              <w:spacing w:before="120" w:after="120"/>
              <w:rPr>
                <w:rFonts w:cs="Arial"/>
                <w:b w:val="0"/>
                <w:lang w:eastAsia="en-NZ"/>
              </w:rPr>
            </w:pPr>
            <w:r w:rsidRPr="00BE00C7">
              <w:rPr>
                <w:rFonts w:cs="Arial"/>
                <w:b w:val="0"/>
                <w:lang w:eastAsia="en-NZ"/>
              </w:rPr>
              <w:t>The programme was offered to all clients so there was a sense of inclusion for everyone and this developed a support network for the selected clients.  Each individual did well but the programme demonstrated benefit to all who attended.  The intensity of exercises increased as resident abilities increased.  Results were measured by observations showing a marked improvement in physical movement and social interaction from all clients participating.  This was confirmed in documented GP reviews and InterRAI assessment outcomes.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Hampton Court</w:t>
    </w:r>
    <w:bookmarkEnd w:id="58"/>
    <w:r>
      <w:rPr>
        <w:rFonts w:cs="Arial"/>
        <w:sz w:val="16"/>
        <w:szCs w:val="20"/>
      </w:rPr>
      <w:tab/>
      <w:t xml:space="preserve">Date of Audit: </w:t>
    </w:r>
    <w:bookmarkStart w:id="59" w:name="AuditStartDate1"/>
    <w:r>
      <w:rPr>
        <w:rFonts w:cs="Arial"/>
        <w:sz w:val="16"/>
        <w:szCs w:val="20"/>
      </w:rPr>
      <w:t>20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