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Sea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Sea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June 2016</w:t>
      </w:r>
      <w:bookmarkEnd w:id="7"/>
      <w:r w:rsidRPr="009418D4">
        <w:rPr>
          <w:rFonts w:cs="Arial"/>
        </w:rPr>
        <w:tab/>
        <w:t xml:space="preserve">End date: </w:t>
      </w:r>
      <w:bookmarkStart w:id="8" w:name="AuditEndDate"/>
      <w:r w:rsidR="00A4268A">
        <w:rPr>
          <w:rFonts w:cs="Arial"/>
        </w:rPr>
        <w:t>28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by the Sea is part of the Summerset Group and provides rest home and hospital (medical and geriatric) level care for up to 40 residents.  On the days of audit, there were 28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nurse manager is appropriately qualified and experienced, and supported by registered nursing staff.  There are quality systems and processes established.  Feedback from the residents and families was very positive about the care and services provided.  An induction and in-service training programme is in place to provide staff with appropriate knowledge and skills to deliver care.</w:t>
      </w:r>
    </w:p>
    <w:p w:rsidRPr="00A4268A">
      <w:pPr>
        <w:spacing w:before="240" w:line="276" w:lineRule="auto"/>
        <w:rPr>
          <w:rFonts w:eastAsia="Calibri"/>
        </w:rPr>
      </w:pPr>
      <w:r w:rsidRPr="00A4268A">
        <w:rPr>
          <w:rFonts w:eastAsia="Calibri"/>
        </w:rPr>
        <w:t xml:space="preserve">This certification audit identified that improvements are required in relation to privacy locks for communal toilets/showers, communicating quality results with staff, corrective action plans, hair protection while preparing food, and restraint evaluations.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on noticeboards.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appropriate to the needs of the residents.  A nurse manager is responsible for the day-to-day operations of the care facility.  Quality and risk management processes are established.  Strategic plans and quality goals are documented for the service.  A risk management programme is in place, which includes a risk management plan, incident and accident reporting, and health and safety processes.  Staff document adverse, unplanned and untoward events. The health and safety programme meets current legislative requirements.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Care plans viewed in resident records demonstrated service integration and were reviewed at least six monthly.  Resident files included medical notes by the contracted GPs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The medicine charts reviewed meet prescribing requirements and were reviewed at least three monthly.     </w:t>
      </w:r>
    </w:p>
    <w:p w:rsidRPr="00A4268A" w:rsidP="00621629">
      <w:pPr>
        <w:spacing w:before="240" w:line="276" w:lineRule="auto"/>
        <w:rPr>
          <w:rFonts w:eastAsia="Calibri"/>
        </w:rPr>
      </w:pPr>
      <w:r w:rsidRPr="00A4268A">
        <w:rPr>
          <w:rFonts w:eastAsia="Calibri"/>
        </w:rPr>
        <w:t xml:space="preserve">The activities programme meets the individual recreational, physical, cultural and cognitive needs of residents.  Residents and families report satisfaction with the activities programme.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access to individual ensuites or communal facilities.  Documented policies and procedures for the cleaning and laundry services are implemented.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coordinators (a registered nurse and enrolled nurse) are responsible for coordinating education and training for staff.  The infection control coordinators have attended external training.  There is a suite of infection control policies and guidelines to support practice.  The infection control coordinators use the information obtained through surveillance to determine infection control activities and education needs within the facility over and above which is required from the group head office.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18"/>
        <w:gridCol w:w="1280"/>
        <w:gridCol w:w="85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accessible to residents and their families.  Policy relating to the Code is implemented and care staff interviewed (two caregivers, four registered nurses (RNs), one activities coordinator)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as sighted in all six residents’ files sampled.  Advanced directives (if known) were on the residents’ files.  Resuscitation plans were in five files and were signed appropriately.  The file of the palliative resident had end of life guidelines.  Copies of enduring power of attorney (EPOA) were present and activated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family/whanau, are provided with appropriate information to make informed choices and informed decisions.  The care staff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sampled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included in the resident information pack that is provided to new residents and their family on admission.  HDC advocacy brochures are also available at reception.  Interviews with residents and family confirmed their understanding of the availability of advocacy services.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their friends and community groups.  Assistance is provided by the care staff to ensure that the residents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for lodging informal complaints (feedback) and formal complaints are readily available.  A suggestions box is at reception.</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complaints process is provided on admission.  Interviews with residents and family members confirmed their understanding of the complaints process. Staff interviewed were also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complaints register is maintained.  Since the facility opened, three complaints have been received and were reviewed.  Evidence was sighted to confirm that each complaint had been managed in a timely manner including acknowledgement, and a comprehensive investigation.  Two of the three complaints were resolved.  The third complaint, around providing adequate shelving in one resident’s room, was still open.  The resident was being kept informed.  </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communicated to staff, evidenced in the staff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provided to new residents and their families.  An RN discusses aspects of the Code with residents and their family on admission.  Discussions relating to the Code are also held during the monthly resident/family meetings.  All ten residents (seven rest home level, which included one resident in the service apartments and three hospital level residents) and three families (one rest home level and two hospital level)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personal belongings are used to decorate their rooms.  All rooms are single occupancy in the care facility, with a selection of rooms with full ensuites.  Privacy signage was evident on communal toilet and shower doors; however, signage to indicate whether the toilet/shower was occupied was missing.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closed when cares are being given and do not hold personal discussions in public areas.  They reported that they promote the residents' independence by encouraging them to be as active as possible.  All of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No residents identified as Māori.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links with Māori organisations within the community.  Several care staff identify as Māori.  Staff receive education on cultural awareness during their induction to the service and continues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care plan, evidenced in all six care plans reviewed (four rest home including one respite resident and one resident residing in a serviced apartment; and two hospital including one palliative).  All residents and families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induction to the service, the professional boundaries policy is discussed and signed by each new employee as evidenced in all six staff files reviewed.  Professional boundaries are also defined in job descriptions.  Interviews with all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 registered nurse is available 24 hours a day, seven days a week.  A general practitioner (GP) from the local medical centre visits the facility weekly, at minimum.  A general practitioner (GP) reviews residents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and training is provided.  Over 90% of staff regularly attend training.  In addition to in-service training, staff complete a range of competency assessments.  The caregivers interviewed reported that education and training sessions are very informative and helpful.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meetings are held monthly, led by the activities coordinator.  Residents and families interviewed reported that they are very satisfied with the services received.  A satisfaction survey of the care facility is planned, (note: the facility has been open for less than one year).</w:t>
            </w:r>
          </w:p>
          <w:p w:rsidR="00EB7645" w:rsidRPr="00BE00C7" w:rsidP="00BE00C7">
            <w:pPr>
              <w:pStyle w:val="OutcomeDescription"/>
              <w:spacing w:before="120" w:after="120"/>
              <w:rPr>
                <w:rFonts w:cs="Arial"/>
                <w:b w:val="0"/>
                <w:lang w:eastAsia="en-NZ"/>
              </w:rPr>
            </w:pPr>
            <w:r w:rsidRPr="00BE00C7">
              <w:rPr>
                <w:rFonts w:cs="Arial"/>
                <w:b w:val="0"/>
                <w:lang w:eastAsia="en-NZ"/>
              </w:rPr>
              <w:t>A ‘best practice sheet’ is embedded into practice, which documents when quality activities are completed each month.</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(eg, mental health services).  Physiotherapy services are available as needed.  A van is available for regular outings.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includes a comprehensive range of information regarding the scope of services provided to the resident on entry to the service, and any items they have to pay for that is not covered by the agreement.  Regular contact is maintained with families including when an incident or care/health issues arises. This was evidenced in all 10 accident/incident forms that were randomly selected for review.  Interviews with families confirmed that they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formal agreement is in place with an external provider for interpreter and translation services.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Sea provides rest home and hospital level care for up to 30 residents.  An additional 10 serviced apartments are certified for rest home level of care.  On the day of the audit, there were 27 residents in the care facility (21 at rest home level and 6 at hospital level) and one rest home level resident in the serviced apartments.  All residents’ rooms in the care facility are certified for dual-purpose. </w:t>
            </w:r>
          </w:p>
          <w:p w:rsidR="00EB7645" w:rsidRPr="00BE00C7" w:rsidP="00BE00C7">
            <w:pPr>
              <w:pStyle w:val="OutcomeDescription"/>
              <w:spacing w:before="120" w:after="120"/>
              <w:rPr>
                <w:rFonts w:cs="Arial"/>
                <w:b w:val="0"/>
                <w:lang w:eastAsia="en-NZ"/>
              </w:rPr>
            </w:pPr>
            <w:r w:rsidRPr="00BE00C7">
              <w:rPr>
                <w:rFonts w:cs="Arial"/>
                <w:b w:val="0"/>
                <w:lang w:eastAsia="en-NZ"/>
              </w:rPr>
              <w:t>Twenty-three residents were on the aged-related care contract (19 rest home and 4 hospital).  Two residents (hospital-medical) were on a palliative care contract, and three residents (rest home level) were respite level.</w:t>
            </w:r>
          </w:p>
          <w:p w:rsidR="00EB7645" w:rsidRPr="00BE00C7" w:rsidP="00BE00C7">
            <w:pPr>
              <w:pStyle w:val="OutcomeDescription"/>
              <w:spacing w:before="120" w:after="120"/>
              <w:rPr>
                <w:rFonts w:cs="Arial"/>
                <w:b w:val="0"/>
                <w:lang w:eastAsia="en-NZ"/>
              </w:rPr>
            </w:pPr>
            <w:r w:rsidRPr="00BE00C7">
              <w:rPr>
                <w:rFonts w:cs="Arial"/>
                <w:b w:val="0"/>
                <w:lang w:eastAsia="en-NZ"/>
              </w:rPr>
              <w:t>Summerset by the Sea includes a retirement village.  An acting village manager is responsible for the retirement village until the village manager vacancy is filled.  The acting village manager previously was the activities coordinator for the village.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manager/RN is responsible for operations in the care facility and serviced apartments.  She has seven years of experience as a nurse manager in the aged care sector and was employed at another Summerset facility before beginning her employment at Summerset by the Sea in August 2015.  The nurse manager was on leave during the audit and was unable to be interviewed.  The RN staff and the Summerset national education manager assisted in her absence.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guided by a philosophy, vision and values.  A 2016 operations business plan, specific to Summerset by the Sea, lists six measureable goals and objectives.  Business goals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attended a minimum of eight hours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office manager is responsible for the administrative functions of the facility during any absence of the village manager and/or nurse manager, and the RNs ensure that the nurse manager’s role is covered in her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established through the head office.  The organisation’s clinical quality manager (a position that was vacant at the time of the audit), oversees quality.  Policies and procedures reflect evidence of regular reviews as per the document control schedule.  New and/or revised policies are made available for staff to read, then sign that they have read and understand the changes. The village manager and nurse manager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(but is not limited to) residents’ falls, infection rates, skin tears and pressure injuries.  To identify trends, data is collated and benchmarked against other Summerset facilities.  A resident satisfaction survey is planned for later in the year.  An annual internal audit schedule is being implemented with audits completed as per the schedule.  Meeting minutes did not evidence that quality data and results were being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have not routinely been developed or fully implement where opportunities for improvements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Sensor mats and physiotherapy services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meets current legislative requirements and overseen by a health and safety officer, and is supported by a health and safety team.  A comprehensive contractor induction programme is in place.  Hazard identification forms and a hazard register are being implemented.  Reporting is electronic, and includes senior management input for high-risk events.  Links are in place to ensure the board is kept informed of any high-risk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which is linked to the quality and risk management system (link 1.2.3.6 and 1.2.3.8). This includes, but is not limited to, the collection of adverse event data.  Immediate actions taken are documented on the 10 accident/incident forms reviewed. The forms are reviewed and investigated by an RN (all clinical events) or by the village manager. If risks are identified, these are processed as hazards and reported to the health and safety officer for evaluation at 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acting village manager and one RN confirmed their awareness of statutory requirements in relation to essential notification.  This has not been required.  This information is also provided by the Summerset organisation as reference material.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for all relevant positions that describe staff roles, responsibilities and accountabilities.  The practising certificates of nurses were current. The service maintains copies of other visiting practitioners practising certificate.  Six staff files were reviewed (three caregivers, one enrolled nurse and two RNs).  Evidence of signed employment contracts, job descriptions, orientation, and staff training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for staff are regularly conducted.  Newly appointed staff complete an orientation that is specific to their job duties. Interviews with all three caregivers confirmed that the orientation programme included a period of supervision over three days.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A system for determining staff competency is implemented.  The competencies for RNs includes (but is not limited to) medication, syringe driver and insulin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Registered nurses are rostered on 24 hours a day, seven days a week.  In addition to an RN, there are a minimum of three caregivers rostered 24/7.  Caregiver responsibilities include laundry and cleaning duties.  Separate cleaning staff are available from 8am – 12pm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staffing levels and the skill mix was safe although the RNs commented that they are extremely busy.  Interviews with residents and families confirmed that they felt there was sufficient staffing.  The roster can be changed in response to resident acuity.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each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in a secure room.  Archived records are secure in separate locked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are provided for families and residents prior to admission. The service has a comprehensive information folder for residents/families/whānau at entry.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are coordinated in collaboration with the resident and family to ensure continuity of care.  There are documented policies and procedures to ensure exit, discharge or transfer of residents is undertaken in a timely and safe manner.  The DHB ‘yellow envelope’ is used for admissions and the InterRAI transfer form is used by the service along with a Medimap printout of medications for transfers/discharges.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meets legislative requirements.  Clinical staff who administer medications (RNs and three caregivers) have been assessed for competency.  Education around safe medication administration has been provided.  Staff were observed to be safely administering medications at two rounds.  Standing orders are not used.  One resident is self-medicating with competency reviewed by the GP and RN three monthly.  Medications are stored, and managed in line with current best practice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system for charting and the recording of medications administered is in use.  All 12 medication charts sampled met legislative prescribing requirements.  The GPs had reviewed the medication charts three monthly.  All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qualified cook and six staff prepare and cook all meals on site. There is an eight weekly menu for spring/summer and another for autumn/winter which has been reviewed by a dietitian (16 Mar 2016).  Food, once cooked, is transferred in a ‘hot box’ to the bain-marie in the servery for plating.  Dietary needs are known with individual likes and dislikes accommodated.  Dietary requirements, cultural and religious food preferences are met.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dining room and in individual residents’ rooms.  Resident meetings (the cook receives the minutes of the meetings monthly), a weekly audit of a meal and surveys, along with direct input from residents (there is a comment book in the dining room), provide resident feedback on the meals and food service.  Residents and family members interviewed were satisfied with the food and confirmed alternative food choices were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in the kitchen, but not in the servery.  End cooked food temperatures are recorded on each meal. The chemical supplier checks the dishwasher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Nutrition and safe food management policies define the requirements for all aspects of food safety.  A kitchen cleaning-schedule is in place and implemented.  Containers of food are labelled and dated. It was observed that a care staff member responsible for breakfast preparation did not wear a hair cover.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were unable to provide the care required or there were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which includes risk assessment tools.  An InterRAI assessment is undertaken within 21 days of admission and six monthly, or earlier due to health changes.  Resident needs and supports are identified through the ongoing assessment process in consultation with significant others.  InterRAI assessments, assessment notes and summaries were in place for four of the six resident files sampled.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sampled were resident focused and individualised.  All identified support needs as assessed were included in the care plans for all residents’ files sampled.  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residents including physiotherapist, podiatrist, dietitian and input from the DHB’s mental health and older person’s assessment unit.  The district nursing service was available for wound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and relevant allied health input is sought.  There is evidence that family members are notified of any changes to their relative’s health including (but not limited to) accident/incidents, infections, health professional visits and changes in medications.  Discussions with families and notifications are documented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for nine wounds.  Wound assessments, plans and evaluations were in place for all current wounds and skin tears.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residents’ files include a continence assessment and continence products to use.</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for weight, vital signs, blood glucose, pain and challenging behaviour (link to finding 1.2.3.8).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activities coordinator who, along with her assistant, is currently working towards attaining a diversional therapy qualification.  Between them, they work 72 hours per fortnight providing individual and group activities for rest home and hospital residents thirteen days per fortnight.  The monthly programme is an inclusive programme for both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appropriate to the needs, age and culture of the residents.  The activities are physically and mentally stimulating.  One-on-one activities occur for residents who are unable, or choose not to be involved in the group activities. The weekly activities programme is posted throughout the facility and includes activities, exercises and social events.  Kindergarten children come once a month and entertainers two to three times a month.  These include line dancers and ‘dancing divas’.  Volunteers assist with reading to residents and walking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is completed on admission in consultation with the resident/family (as appropriate).  Weekly progress notes are maintained for each resident detailing what they wish to participate in, enjoy, or are not interested 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invited to the resident meetings.  The service also receives feedback and suggestions for the programme through surveys and one-on-one feedback from residents (as appropriate)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evaluated all initial care plans (sampled) within three weeks of admission.  Long-term care plans have been reviewed at least six monthly or earlier for any health changes.  The GP reviews the residents at least three monthly or earlier if required.  Ongoing nursing evaluations are documented and are evident in changes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are readily accessible for staff.  Chemical bottles sighted have correct manufacturer labels.  Chemicals are stored in locked areas and safety datasheets are available.  Personal protective clothing was available in the laundry for staff to wear when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posted in a visible location (expiry 15 January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maintenance person is employed and ensures daily maintenance requests are addressed and a planned maintenance schedule is maintained.  Essential contractors are available 24 hours.  Equipment and medical equipment are currently under warranty.  Equipment that has required checking and calibration has been actioned.  Hot water temperatures in resident areas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to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 staff and RNs interviewed stated they have sufficient equipment to safely deliver the cares as outlined in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There are rooms with ensuites and others that have communal use of nearby bathrooms/toilets.  Communal toilet facilities are lacking appropriate privacy measures (link to finding 1.1.3.1).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rooms.  There is adequate room in the resident bedrooms to safely manoeuvre mobility aids and transferring equipment, such as hoists.  Residents and families are encouraged to personalise their rooms.  This was evidenced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large lounge and dining area in which seating and space is arranged to allow both individual and group activities to occur.  There is an additional smaller lounge.  The facility is light and odour free with outlooks to the grounds and wider views.  There is a designated resident outside smoking area.  All furniture is safe and suitable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guidance regarding the safe and efficient use of laundry services.  Protective equipment was evident in the laundry.  Care staff carries out the laundry.  Residents and family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regular reviews and internal audits of cleaning and laundry services to ensure these are safe and effective (link to findings 1.2.3.6 and 1.2.3.8).  Current safety material datasheets for each product are located with the chemicals, along with guidance for each chemicals use. The chemicals are stored appropriately in locked areas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for the service, are documented.  The fire evacuation plan was approved on 15 September 2015.  Fire drills have been conducted six monthly.  The orientation programme and annual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In the event of a civil defence emergency, there are adequate supplies readily available on each floor of the facility including food, water and blankets.  Two gas barbeques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The nurses also carry walkie-talkies for aid with communication between the ground and first levels. (Note: the serviced apartments are on the ground level and the care facility is located on the first level).</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 hours a day, seven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doors and external opening windows for ventilation.  All bedrooms have adequate sized external opening windows that are designed and installed to promote ventilation and to be secured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interviewed confirmed the internal temperatures and ventilation are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coordinator (rostered RN with previous experience as an infection control coordinator) and an enrolled nurse oversee infection control for the facility and are responsible for the collation of infection events.  Infection events are collated monthly and entered on ‘SWAY’, and graphs of data are presented at monthly meetings and placed for viewing in the staff room. The Summerset IC education programme is followed (hand hygiene education was provided in February and standard precaution education provided in June) along with additional education on infection control identified as relevant to the facility/residents/staff. </w:t>
            </w:r>
          </w:p>
          <w:p w:rsidR="00EB7645" w:rsidRPr="00BE00C7" w:rsidP="00BE00C7">
            <w:pPr>
              <w:pStyle w:val="OutcomeDescription"/>
              <w:spacing w:before="120" w:after="120"/>
              <w:rPr>
                <w:rFonts w:cs="Arial"/>
                <w:b w:val="0"/>
                <w:lang w:eastAsia="en-NZ"/>
              </w:rPr>
            </w:pPr>
            <w:r w:rsidRPr="00BE00C7">
              <w:rPr>
                <w:rFonts w:cs="Arial"/>
                <w:b w:val="0"/>
                <w:lang w:eastAsia="en-NZ"/>
              </w:rPr>
              <w:t>Monthly reviews of the IC plan are occurring and the annual infection-control programme review is due November 2016.  Follow up action is taken if an area for improvement is identified and then re-audited to determine if improvement has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Residents are offered the influenza vaccine.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controls are appropriate to the size and scope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 defined position description and is allocated four hours per month to focus on the role with assistance from the EN.  Both IC personnel have attended education covering their role and the Summerset infection control programme.  The infection control coordinator has access to GPs, local laboratory, fellow Summerset IC coordinators and head office for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provided by head office and are reviewed regularly.  The IC coordinator is able to establish procedures relevant to the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and EN are responsible for coordinating/providing education and training to staff.  Training on infection control is included in orientation and as part of the annual training schedule.  Hand hygiene competencies are completed on orientation and are ongoing.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and EN collate information obtained through surveillance to determine infection control activities and education needs in the facility.  Individual infection reports and short-term care plans are completed for all infections.  Infection control data and relevant information is displayed for staff.  Definitions of infections are in place appropriate to the complexity of service provided.  Infection control data is discussed at both the registered nurse and general staff meetings.  Annual infection control reports are provided.  Trends are identified and preventative measures put in place.  Internal audits for infection control are included in the annual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One hospital resident using bedrails as an enabler met all requirements of the restraint standard for enabler use.  Three hospital residents had restraint in use in the form of bed rails and/or lap belts.  Staff receive mandatory training around restraint minimisation that includes annual competency assessments.  Annual restraint competency questionnaires ask staff to differentiate a restraint from an enabler.  Enablers are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The nurse manager is the designated restraint coordinator.  She was unavailable during the audit.  An RN filling this role in her absence was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A restraint/enabler assessment tool meets the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hospital level residents’ files where restraint was being used (bed rails and lap belt), were selected for review.  Each file included a restraint assessment and consent form that was signed by the resident’s family.  Restraint use was linked to the resident’s care plan and was regularly reviewed. Their care plans provided factual information in assessing the risks of safety and the need for restraint.  Consultation with the resident and/or family/whānau was also identified in each resident's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assessments reviewed identified that restraint is being used only as a last resort.  The restraint assessment process includes determining the frequency of monitoring residents while on restraint.  All residents using restraints and enablers are monitored every two hours.  Monitoring forms are completed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reviews restraint use monthly.  Reviews lack detail as required under criterion 2.2.4.1.  Restraint use is a regular agenda item in the monthly RN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national quality manager and the national education manager evaluate the restraint programme, including reviewing policies and procedures and staff education,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35"/>
        <w:gridCol w:w="1280"/>
        <w:gridCol w:w="3293"/>
        <w:gridCol w:w="1671"/>
        <w:gridCol w:w="15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respects the physical, visual, auditory, and personal privacy of the consumer and their belongings at all times.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opened in September 2015, and provides residents with their own private room.  A selection of the residents’ rooms includes ensuites.  Two communal toilets and showers did not have signage on the doors to indicate their function.  This was corrected during the audit.  These same areas did not have a means for residents to indicate that the toilet/shower was engaged.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communal toilets/showers were lacking privacy measures to indicate when the facilities were in use.  One of these rooms has two entrances.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communal toilets/showers restrict access when in use.  Special consideration will be required for the toilet/shower with two entrances.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being collected, analysed and evaluated.  Data is benchmarked against other Summerset facilities with targets established.  The internal audit programme is being implemented.  Gaps in meeting minutes were noted around the reporting of quality data and trends in the data.  The meeting agenda reflected internal audits that were completed, however, the internal audit results were missing.  Staff have not been kept informed of quality data results that are benchmarked against other Summerset facilities (eg, falls, skin tears, pressure injuries, medication errors).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and risk data results have not been fully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kept informed of quality data outcomes, trends and corrective actions.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robust corrective action process is established for the Summerset organisation but is not fully implemented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established where internal audits reflected shortfalls were not consistently implemented and evaluated.  Corrective actions where quality data exceeded the Summerset benchmarking thresholds were not established.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Evidence to support the implementation and the evaluation of corrective action plans were missing in fifteen out of 20 internal audits reviewed.  ii) Corrective action plans were not established where data exceeded acceptable targets (eg, falls [May 2016], weight loss [Feb, Mar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corrective action plans are implemented and evaluated.  ii) Ensure corrective action plans are established where data exceeds acceptable targets.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The kitchen and equipment are well maintained.  Food safety information and a kitchen manual are available in the kitchen.  Fridge and freezer temperatures are monitored in the kitchen but not in the servery. Kitchen staff were observed wearing head covering. A care staff member was not wearing a protective hair cover while preparing breakfast.  Care staff who assist with breakfast meal preparation have had food service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no evidence that the temperature of the fridge containing food, in the servery, was being taken or recorded.  ii) It was observed that a staff member preparing breakfast did not wear a protective hair cover.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aspects of food storage and preparation comply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process for restraint use was evidenced with the restraint coordinator (nurse manager) documenting ‘reviewed’ next to the residents name each month, followed by the nurse manager’s signature.  Restraint review entries did not evidence that the requirements as described under criterion 2.2.4.1 were being met.  Reviews were not 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evaluations lack sufficient detail and not dated by the restraint coordinator.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restraint evaluations meet requirements listed under 2.2.4.1 (a) – (k), and are 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Sea</w:t>
    </w:r>
    <w:bookmarkEnd w:id="58"/>
    <w:r>
      <w:rPr>
        <w:rFonts w:cs="Arial"/>
        <w:sz w:val="16"/>
        <w:szCs w:val="20"/>
      </w:rPr>
      <w:tab/>
      <w:t xml:space="preserve">Date of Audit: </w:t>
    </w:r>
    <w:bookmarkStart w:id="59" w:name="AuditStartDate1"/>
    <w:r>
      <w:rPr>
        <w:rFonts w:cs="Arial"/>
        <w:sz w:val="16"/>
        <w:szCs w:val="20"/>
      </w:rPr>
      <w:t>27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