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 Kauwhata Retirement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 Kauwhata Retirement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Aparangi Village Residential Care Unit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May 2016</w:t>
      </w:r>
      <w:bookmarkEnd w:id="7"/>
      <w:r w:rsidRPr="009418D4">
        <w:rPr>
          <w:rFonts w:cs="Arial"/>
        </w:rPr>
        <w:tab/>
        <w:t xml:space="preserve">End date: </w:t>
      </w:r>
      <w:bookmarkStart w:id="8" w:name="AuditEndDate"/>
      <w:r w:rsidR="00A4268A">
        <w:rPr>
          <w:rFonts w:cs="Arial"/>
        </w:rPr>
        <w:t>31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Aparangi Village Residential Care Unit is owned and operated by a charitable trust and is located within a retirement village complex. The service provides rest home and hospital level of care for up to 56 residents. The residents and families expressed high satisfaction with the quality of care and services provided at Aparangi. </w:t>
      </w:r>
    </w:p>
    <w:p w:rsidRPr="00A4268A">
      <w:pPr>
        <w:spacing w:before="240" w:line="276" w:lineRule="auto"/>
        <w:rPr>
          <w:rFonts w:eastAsia="Calibri"/>
        </w:rPr>
      </w:pPr>
      <w:r w:rsidRPr="00A4268A">
        <w:rPr>
          <w:rFonts w:eastAsia="Calibri"/>
        </w:rPr>
        <w:t xml:space="preserve">This unannounced (spot) surveillance audit was conducted against the relevant Health and Disability Services Standards and the organisation’s contract with the district health board. A surveillance audit is undertaken part-way through a service provider’s period of certification to verify the service continues to meet all relevant standards. The audit process included the onsite audit and the review of documentation, observations and interviews. Interviews were conducted with the management, clinical and non-clinical staff, residents, family/whanau and a general practitioner to verify the documented evidence. </w:t>
      </w:r>
    </w:p>
    <w:p w:rsidRPr="00A4268A">
      <w:pPr>
        <w:spacing w:before="240" w:line="276" w:lineRule="auto"/>
        <w:rPr>
          <w:rFonts w:eastAsia="Calibri"/>
        </w:rPr>
      </w:pPr>
      <w:r w:rsidRPr="00A4268A">
        <w:rPr>
          <w:rFonts w:eastAsia="Calibri"/>
        </w:rPr>
        <w:t xml:space="preserve">The focus of the audit is on service delivery and review of criteria not fully attained at the previous audit. There were four areas for improvement at identified at the previous audit. These related to the analysis of quality data and implementing corrective actions plan, ensuring annual performance reviews are completed, the storage of chemicals and documentation related to medication management. All these now evidence that improvements have been implemented. There is one new area for improvement in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Evidence was seen of open disclosure in the way the organisation communicates with the residents and families after any adverse events. The organisation is able to access interpreting services as required. </w:t>
      </w:r>
    </w:p>
    <w:p w:rsidRPr="00A4268A">
      <w:pPr>
        <w:spacing w:before="240" w:line="276" w:lineRule="auto"/>
        <w:rPr>
          <w:rFonts w:eastAsia="Calibri"/>
        </w:rPr>
      </w:pPr>
      <w:r w:rsidRPr="00A4268A">
        <w:rPr>
          <w:rFonts w:eastAsia="Calibri"/>
        </w:rPr>
        <w:t>There is an accessible and easy to use complaints management system. There is a complaints register that contains any complaint received and actions taken to address any shortfalls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organisational strategic plan and goals are monitored at the management and board levels. Service performance is aligned with quality objectives and key performance criteria. The organisation`s philosophy and goals are monitored on a monthly basis. </w:t>
      </w:r>
    </w:p>
    <w:p w:rsidRPr="00A4268A">
      <w:pPr>
        <w:spacing w:before="240" w:line="276" w:lineRule="auto"/>
        <w:rPr>
          <w:rFonts w:eastAsia="Calibri"/>
        </w:rPr>
      </w:pPr>
      <w:r w:rsidRPr="00A4268A">
        <w:rPr>
          <w:rFonts w:eastAsia="Calibri"/>
        </w:rPr>
        <w:t xml:space="preserve">The quality and risk management systems are implemented and support the provision of clinical care and support. Policies are reviewed as required. Where the service identifies areas for improvement corrective actions are implemented. </w:t>
      </w:r>
    </w:p>
    <w:p w:rsidRPr="00A4268A">
      <w:pPr>
        <w:spacing w:before="240" w:line="276" w:lineRule="auto"/>
        <w:rPr>
          <w:rFonts w:eastAsia="Calibri"/>
        </w:rPr>
      </w:pPr>
      <w:r w:rsidRPr="00A4268A">
        <w:rPr>
          <w:rFonts w:eastAsia="Calibri"/>
        </w:rPr>
        <w:t xml:space="preserve">The general manager and clinical support registered nurse (RN) are both suitably qualified and experienced to run the service. The general manager has the oversight for the entire retirement complex and reports to the Te Kauwhata Retirement Trust Board. The general manager is supported by the clinical support RN, who has the overall responsibility for the clinical management of the care unit. </w:t>
      </w:r>
    </w:p>
    <w:p w:rsidRPr="00A4268A">
      <w:pPr>
        <w:spacing w:before="240" w:line="276" w:lineRule="auto"/>
        <w:rPr>
          <w:rFonts w:eastAsia="Calibri"/>
        </w:rPr>
      </w:pPr>
      <w:r w:rsidRPr="00A4268A">
        <w:rPr>
          <w:rFonts w:eastAsia="Calibri"/>
        </w:rPr>
        <w:t>The adverse event reporting system is planned and coordinated. The risk management systems include the identification of hazards and risks to service delivery.</w:t>
      </w:r>
    </w:p>
    <w:p w:rsidRPr="00A4268A">
      <w:pPr>
        <w:spacing w:before="240" w:line="276" w:lineRule="auto"/>
        <w:rPr>
          <w:rFonts w:eastAsia="Calibri"/>
        </w:rPr>
      </w:pPr>
      <w:r w:rsidRPr="00A4268A">
        <w:rPr>
          <w:rFonts w:eastAsia="Calibri"/>
        </w:rPr>
        <w:t xml:space="preserve">Systems for human resources management are in place with documented recruitment and employment processes established. There are adequate staff numbers each shift to meet the residents’ needs at. Ongoing education is provided.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their desired goals/outcomes. Residents are admitted with the use of standardised risk assessment tools. Care plans are consistently developed and evaluated for all residents. Short term care plans are sufficiently detailed.</w:t>
      </w:r>
    </w:p>
    <w:p w:rsidRPr="00A4268A" w:rsidP="00621629">
      <w:pPr>
        <w:spacing w:before="240" w:line="276" w:lineRule="auto"/>
        <w:rPr>
          <w:rFonts w:eastAsia="Calibri"/>
        </w:rPr>
      </w:pPr>
      <w:r w:rsidRPr="00A4268A">
        <w:rPr>
          <w:rFonts w:eastAsia="Calibri"/>
        </w:rPr>
        <w:t>Planned activities are appropriate to the needs, age and culture of the resident. Residents reported that activities are enjoyable and meaningful to them. Food services meet the individual food, fluids and nutritional needs of the residents</w:t>
      </w:r>
    </w:p>
    <w:p w:rsidRPr="00A4268A" w:rsidP="00621629">
      <w:pPr>
        <w:spacing w:before="240" w:line="276" w:lineRule="auto"/>
        <w:rPr>
          <w:rFonts w:eastAsia="Calibri"/>
        </w:rPr>
      </w:pPr>
      <w:r w:rsidRPr="00A4268A">
        <w:rPr>
          <w:rFonts w:eastAsia="Calibri"/>
        </w:rPr>
        <w:t xml:space="preserve">One improvement is required to the medicine management system. This relates to controlled drugs.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The internal layout of the building has not changed since the previous audit. There is some external contractor work being conducted, with health and safety processes in place to manage this.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and comprehensive policies and procedures which meet the requirements of the restraint minimisation and safe practice standard. There are established systems and practices to ensure safety of the residents. The restraint register is current.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infection surveillance undertaken is appropriate to the rest home and hospital level of care provided. There is a monthly surveillance and benchmarking of the infection numbers. Results of the surveillance are acted upon, evaluated and reported to staff, management and the board.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27"/>
        <w:gridCol w:w="1280"/>
        <w:gridCol w:w="102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process complies with Right 10 of the Code. Complaints management is explained during the admission process and is included in the information given to new residents and family/whānau. Complaints management is included in new staff orientation and in ongoing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identifies complaints have been managed within policy time frames. The complaints register containing all complaints, dates and actions taken, outcomes and risk rating. There are no open complaints at the time of audit, with the complaints sampled for 2016 being closed on the same day to the satisfaction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confirmed that if they need to make a complaint, they would find this easy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current residents are able to communicate effectively in English; however, the organisation promotes an environment that optimises communication through the use of interpreter services if needed. Interpreting services have been accessed in the past for a resident. Staff education on appropriate communication methods for residents who cannot verbally communicate has been provided. There is evidence of open disclosure following incidents/accidents. Residents and family reported satisfaction with communication.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located in a retirement village complex. There is one wing that has seven independent living units. This wing is attached to the residential care facility. Services are planned to ensure the resident’s needs are meet, no matter what wing/unit the resident resides in. When clinically indicated staffing is increased to meet the individual or increased needs of the residents. The service has a maximum capacity of 56 residents, currently there are 46 (33 rest home and 13 hospital level of care) with one being a younger person under the age of 65.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governed by a trust board. The organisation is also part of a wider charitable company which runs other rural aged care services. The charitable company has undergone an external strategic review to set goals and capacity planning for the next five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identifies the organisation’s mission statement, vision and philosophy and shows the organisation’s commitment to ensuring services are provided to meet residents’ needs. The quality policy statement identifies the mission of the organisation and the procedures undertaken to achieve the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policy statement identifies the mission of the organisation and the procedures undertaken to achieve the mission statement. Actions described include the use of quality programmes and procedures, identification of hazards, staff training and education, data reporting of incidents/accidents, infections and internal audit results to identify trends and improve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currently undergoing an external review and organisational structure change. The clinical management role is temporary being undertaken by the clinical support nurse until the structure and appointment of staff is confirmed. The job descriptions for the new roles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general manager, who has over 30 years as a nurse and in aged care management. The general manager reports to the chair of the trust board. The clinical manager of the care unit is currently being temporarily undertaken by a clinical support nurse (RN). The clinical support nurse is a registered nurse with a background in aged care management for a national aged care organisation. The clinical support nurse has been at the service for 12 months and has been acting in the clinical management role for the past two months. Both the general manager and clinical support nurse have job descriptions that describe their roles, responsibilities and accountability. Both the general manager and clinical support nurse have attended more than 8 hours’ education in the past 12 months related to management of aged care services and receive regular updates from an aged care consultant.</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have high praise for the care and services provided at Aparangi.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not all corrective action plans showed resolution of issues and that there was little evidence of the use of the benchmarking data and trend analysis to improve quality including use of information around restraints used. These are now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and management demonstrate an understanding of the quality and risk processes that are identified in policy. Staff at all levels of the service report their involvement with the ongoing quality and risk management systems. Staff stated that quality improvement was a team effort, they had increased their knowledge in this area, and that they had a better understanding of quality and risk and its significance for gaining better outcomes in care and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least two yearly or sooner if there are legislative or best practice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 control system to manage the policies and procedures, with footer recording the most recent version of the document. The staff only have access to the most current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systems implemented for quality management, the collation and analysis of data, and processes to measure achievement against the quality and risk management plan and strategic directions. Monthly surveillance is collated, benchmarked and reviewed by the management/operations team. The quality data includes analysis of restraint use; this addresses the previous area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Benchmarking occurs with other aged care services. Data is trended and results presented at operations meetings, staff meetings and presented to the Board. The general manager reports to the Board on how the service is performing in the key components of service delivery. The reports reviewed indicated that the service is making ongoing improvements through the continuous improvement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improvements are identified from the internal auditing system and satisfaction surveys, correction actions are implemented. The corrective actions are clearly documented, which is an improvement implemented to address the previous area for improvement. The corrective actions summary is included in reports to the board. These record the recommendation, actions required, who is responsible for implementation, the improvement or decrease since the last audit and if the actions implemented have resolved the issue.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up to date risk register and quality and risk plan which identifies actual and potential risks for all levels of service. The risk rating system includes reporting any serious risks to the board.  Minimisation strategies have been put in place as required. Staff education includes risk management processes.Sstaff confirm their awareness and knowledge of identifying and reporting hazards.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and staff understood their responsibilities related to mandatory reporting and essential notifications. This includes responsibilities related to reporting of pressure injuries stage 3 and above. The reports to the board includes any incidents that have required essential reporting. </w:t>
            </w:r>
          </w:p>
          <w:p w:rsidR="00EB7645" w:rsidRPr="00BE00C7" w:rsidP="00BE00C7">
            <w:pPr>
              <w:pStyle w:val="OutcomeDescription"/>
              <w:spacing w:before="120" w:after="120"/>
              <w:rPr>
                <w:rFonts w:cs="Arial"/>
                <w:b w:val="0"/>
                <w:lang w:eastAsia="en-NZ"/>
              </w:rPr>
            </w:pPr>
            <w:r w:rsidRPr="00BE00C7">
              <w:rPr>
                <w:rFonts w:cs="Arial"/>
                <w:b w:val="0"/>
                <w:lang w:eastAsia="en-NZ"/>
              </w:rPr>
              <w:t>The number of incidents are collated on a monthly basis. Samples of incident/accident forms and the data trend analysis were reviewed. Any trends identified are notified and information fed back to the board, staff and as part of the monthly external benchmarking. The service identifies strategies put in place in response to incidents and accidents and these were documented on the actual individual incident forms and on the resident`s care plan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sampled confirmed that appropriate processes are implemented for the recruitment, employment and orientation of new staff. All new staff receive an orientation which includes the essential components of service delivery. Staff and contractors who require an annual practising certificate (APC) have these validated on employment and again annually. Copies of APCs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providers support and facilitates training and education that is appropriate to the needs of the service. Records of training are maintained. Mandatory training to meet contractual obligations is conducted as required. The care staff and housekeeping staff are supported to gain appropriate national qualifications. The service has registered nurses (RNs) that have completed interRAI training and demonstrated knowledge on the use of this tool to assess residents’ needs to inform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reviews are conducted annually. The previous improvement regarding performance reviews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reports that the allocation and skill mix of the staff is reviewed as resident’s mix/ratio and needs change to ensure safe staffing levels are achieved. Rosters sighted confirmed that the skill mix and numbers of nursing/care staff meets contractual requirements and the residents' needs. All sick leave and annual leave is shown and replacement staff noted. There are sufficient numbers of laundry, housekeeping, activities, and support and administration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utilises an electronic medicine management system. All medicines are prescribed by the GP and dispensed by the pharmacy. Allergies are documented and medications are reviewed regularly as required. A system is in place when using the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securely stored. Medication fridge temperatures are monitored and recorded. All discontinued medications are dated. There are no expired or unwanted medications. A system is in place when returning expired or unwanted medications to the pharmacy. Stock medications are checked monthly.</w:t>
            </w:r>
          </w:p>
          <w:p w:rsidR="00EB7645" w:rsidRPr="00BE00C7" w:rsidP="00BE00C7">
            <w:pPr>
              <w:pStyle w:val="OutcomeDescription"/>
              <w:spacing w:before="120" w:after="120"/>
              <w:rPr>
                <w:rFonts w:cs="Arial"/>
                <w:b w:val="0"/>
                <w:lang w:eastAsia="en-NZ"/>
              </w:rPr>
            </w:pPr>
            <w:r w:rsidRPr="00BE00C7">
              <w:rPr>
                <w:rFonts w:cs="Arial"/>
                <w:b w:val="0"/>
                <w:lang w:eastAsia="en-NZ"/>
              </w:rPr>
              <w:t>Medicine reconciliation is conducted by the RNs when a resident is discharged back to the service. The controlled drugs register is current. Controlled drugs weekly stocktakes are conducted by the RNs while the six-monthly controlled drugs register check is conducted by the pharmacist. An improvement is required in relation to documenting the time of administration of the controlled medications in the controlled medications register.</w:t>
            </w:r>
          </w:p>
          <w:p w:rsidR="00EB7645" w:rsidRPr="00BE00C7" w:rsidP="00BE00C7">
            <w:pPr>
              <w:pStyle w:val="OutcomeDescription"/>
              <w:spacing w:before="120" w:after="120"/>
              <w:rPr>
                <w:rFonts w:cs="Arial"/>
                <w:b w:val="0"/>
                <w:lang w:eastAsia="en-NZ"/>
              </w:rPr>
            </w:pPr>
            <w:r w:rsidRPr="00BE00C7">
              <w:rPr>
                <w:rFonts w:cs="Arial"/>
                <w:b w:val="0"/>
                <w:lang w:eastAsia="en-NZ"/>
              </w:rPr>
              <w:t>The staff observed administering medications in both the rest home and hospital complied with the medication administration policies and procedures. Current medication competencies are evident in staff files. There are no residents who self-administer their medications; however, there are self-administration policies and procedures in place.</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areas for improvements in relation to signing administered medications, six monthly stocktakes and reconciliation have been addressed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The RNs complete the dietary requirement forms on admission and provided a copy to the kitchen. Additional or modified foods are provided if required.</w:t>
            </w:r>
          </w:p>
          <w:p w:rsidR="00EB7645" w:rsidRPr="00BE00C7" w:rsidP="00BE00C7">
            <w:pPr>
              <w:pStyle w:val="OutcomeDescription"/>
              <w:spacing w:before="120" w:after="120"/>
              <w:rPr>
                <w:rFonts w:cs="Arial"/>
                <w:b w:val="0"/>
                <w:lang w:eastAsia="en-NZ"/>
              </w:rPr>
            </w:pPr>
            <w:r w:rsidRPr="00BE00C7">
              <w:rPr>
                <w:rFonts w:cs="Arial"/>
                <w:b w:val="0"/>
                <w:lang w:eastAsia="en-NZ"/>
              </w:rPr>
              <w:t>All meals are prepared and cooked onsite. Cooked meals are plated from the main kitchen to the dining area. The meals are well-presented and residents confirmed they are provided with alternative meals on request. All residents are weighed regularly and there is no evidence of significant weight change in the reviewed resident’s files. Residents with significant weight changes are provided with food supplements and fortified foods. Rest home and hospital level residents have their meals either in rooms or in the main dining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policies and procedures include the principles of food safety, ordering, storage, cooking, reheating and food handling. A system is in place when receiving and utilising stocks. Kitchen staff have food handling certificates. Fridge and food temperatures are monitored and recorded daily. Variance in temperatures are addressed by the maintenance person. </w:t>
            </w:r>
          </w:p>
          <w:p w:rsidR="00EB7645" w:rsidRPr="00BE00C7" w:rsidP="00BE00C7">
            <w:pPr>
              <w:pStyle w:val="OutcomeDescription"/>
              <w:spacing w:before="120" w:after="120"/>
              <w:rPr>
                <w:rFonts w:cs="Arial"/>
                <w:b w:val="0"/>
                <w:lang w:eastAsia="en-NZ"/>
              </w:rPr>
            </w:pPr>
            <w:r w:rsidRPr="00BE00C7">
              <w:rPr>
                <w:rFonts w:cs="Arial"/>
                <w:b w:val="0"/>
                <w:lang w:eastAsia="en-NZ"/>
              </w:rPr>
              <w:t>The kitchen is observed to be clean, tidy and well stocked. A kitchen cleaning schedule is in place.</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menus are reviewed by the dietitian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and short term care plans are developed by the RNs. Documented interventions in the long and short term care plans addressed the issues identified during the assessment process. The interventions are sufficiently detailed to address the desired goals/outcomes. The outcome of the interRAI assessments are addressed in the long term care plans. Staff reported that the outcome of the interRAI assessments are the focus of their long term care plans. Interventions are discussed with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Activities were observed to be physically and mentally stimulating. The diversional therapist (DT) develops the activity plans using the resident’s profile gathered during the interview with the resident and their families. The weekly activities are posted in the corridors in different areas within the facility. Activity plans are well-documented and reflected the resident’s preferred activities and interests. A participation log was maintained. The DT referred the residents to the RNs when changes are noted regarding involvement in the activities. Residents and family members reported that the activities provided by the organisation are adequate and enjoyable.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developed and evaluated by the registered nurses. Changes to the long term care plans are made when the desired outcomes are not met. This was evident in resident files sampled. Short term care plans included the resident’s response after completing treatment. The RNs reported that interventions are updated to address the desired goals/outcomes.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displayed. Since the last audit there have been no changes to the layout of the building which would require the evacuation scheme to be amended. There is currently some external work and construction being undertaken, with all necessary health and safety procedures in place to manage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sighted were either securely stored or on the housekeeping trolleys when in use. The cupboards in the serviced apartments are secured; this addresses the previous area for improvement. Domestic staff demonstrated knowledge regarding the safe storage of chemicals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With some external construction being undertaken, there has been a health and safety assessment and review by the fire service that approved the evacuation scheme. Fire evacuation processes are displayed throughout the service. The planning process included updating of the infection prevention and control construction risk assessment.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includes documented definitions of infections. The surveillance method is also defined and suspected infections are documented. There is a monthly analysis of infections that is reported to staff, management and the board. The results are benchmarked with other aged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data reviewed for 2015 records the collation, analysis, graphing and trending of the infection data. The analysis includes comparisons with the previous month, reasons for any increase or decrease and actions, advice and recommendations for reducing infection occurrence. The data records that where there was an increase in respiratory infections, this was reflective of seasonal changes and community norms for that time of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actively minimised. There are two residents using a restraint and 16 residents using enablers. Residents using enablers reported that it is voluntary and assisted their mobility. The restraint register is current and updated. Policies and procedures have correct definitions on restraints and enablers. Staff demonstrated a good knowledge of what constitutes a restraint and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16"/>
        <w:gridCol w:w="1280"/>
        <w:gridCol w:w="3635"/>
        <w:gridCol w:w="1922"/>
        <w:gridCol w:w="22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and related records were sampled and the times of administration of some controlled drugs are not consistently documented. The CSN corrected this on the day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 of administration for controlled drugs is not consistently documented in the controlled drug register.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time of administration of controlled drugs is consistently documented in the controlled drug register.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 Kauwhata Retirement Trust Board</w:t>
    </w:r>
    <w:bookmarkEnd w:id="58"/>
    <w:r>
      <w:rPr>
        <w:rFonts w:cs="Arial"/>
        <w:sz w:val="16"/>
        <w:szCs w:val="20"/>
      </w:rPr>
      <w:tab/>
      <w:t xml:space="preserve">Date of Audit: </w:t>
    </w:r>
    <w:bookmarkStart w:id="59" w:name="AuditStartDate1"/>
    <w:r>
      <w:rPr>
        <w:rFonts w:cs="Arial"/>
        <w:sz w:val="16"/>
        <w:szCs w:val="20"/>
      </w:rPr>
      <w:t>31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