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Hospital services - Mental health services;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May 2016</w:t>
      </w:r>
      <w:bookmarkEnd w:id="7"/>
      <w:r w:rsidRPr="009418D4">
        <w:rPr>
          <w:rFonts w:cs="Arial"/>
        </w:rPr>
        <w:tab/>
        <w:t xml:space="preserve">End date: </w:t>
      </w:r>
      <w:bookmarkStart w:id="8" w:name="AuditEndDate"/>
      <w:r w:rsidR="00A4268A">
        <w:rPr>
          <w:rFonts w:cs="Arial"/>
        </w:rPr>
        <w:t>11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Parkhaven Hospital is part of the Bupa group.  The service is certified to provide hospital (medical and geriatric), mental health hospital, psychogeriatric and residential disability (intellectual, physical and sensory) level care for up to 84 residents.  On the day of the audit, there were 78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and Ministry of Health.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A care home manager who is appropriately qualified and experienced, manages Parkhaven.  Feedback from residents and relatives is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Improvements are required around dementia staff training, performance appraisals, provision of registered nursing cover, ‘as required’ medication prescribing, infection control surveillance, restraint monitoring and early warning signs and relapse prevention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celebrated.  Evidence-based practice is evident, promoting and encouraging good practice.  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r w:rsidRPr="00A4268A">
        <w:rPr>
          <w:rFonts w:eastAsia="Calibri"/>
        </w:rPr>
        <w:t>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clinical manager/registered nurse and a Bupa operations manager support the care home manager.  The quality and risk management programme includes a service philosophy, goals and a quality planner.  Quality activities are conducted, which generate improvements in practice and service delivery.  Meetings are held to discuss quality and risk management processes.  There are resident meetings and residents and families are surveyed annually.  Health and safety policies, systems and processes are implemented to manage risk.  Incidents and accidents are reported and followed through.  A comprehensive education and training programme has been implemented with a current plan in place.  Appropriate employment processes are adhered to.  Staffing is flexible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Prior to entry to the service, residents are screened and approved.  There is an admission package available prior to or on entry to the service that includes information on the services provided at Bupa Parkhaven. The registered nurses are responsible for each stage of service provision.  The registered nurses assess and review residents’ needs, outcomes and goals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An occupational therapist usually oversees the activity team and coordinates the activity programme for the residents.  The programme includes community visitors and outings, entertainment and activities that meet the individual recreational, physical and cognitive abilities and preferences for each consumer group.  There are specific activities for younger people.  Residents and families report satisfaction with the activities programme.  </w:t>
      </w:r>
    </w:p>
    <w:p w:rsidRPr="00A4268A" w:rsidP="00621629">
      <w:pPr>
        <w:spacing w:before="240" w:line="276" w:lineRule="auto"/>
        <w:rPr>
          <w:rFonts w:eastAsia="Calibri"/>
        </w:rPr>
      </w:pPr>
      <w:r w:rsidRPr="00A4268A">
        <w:rPr>
          <w:rFonts w:eastAsia="Calibri"/>
        </w:rPr>
        <w:t>Medication policies reflect legislative requirements and guidelines.  Staff responsible for the administration of medicines complete annual education and medication competencies.  Medication charts have photo identification and allergy status noted.</w:t>
      </w:r>
    </w:p>
    <w:p w:rsidRPr="00A4268A" w:rsidP="00621629">
      <w:pPr>
        <w:spacing w:before="240" w:line="276" w:lineRule="auto"/>
        <w:rPr>
          <w:rFonts w:eastAsia="Calibri"/>
        </w:rPr>
      </w:pPr>
      <w:r w:rsidRPr="00A4268A">
        <w:rPr>
          <w:rFonts w:eastAsia="Calibri"/>
        </w:rPr>
        <w:t>All meals are prepared on site.  Individual and special dietary needs are catered and alternative options are available for residents with dislikes.  A dietitian has reviewed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in place for the management of waste and hazardous substances and incidents are reported in a timely manner.  Staff receive training and education to ensure safe and appropriate handling of waste and hazardous substances.  The building has a current warrant of fitness.  Residents can freely mobilise within the communal areas with safe access to the outdoors, seating and shade.  Resident bedrooms are spacious and personalised with access to shared ensuites or communal facilities.  Documented policies and procedures for the cleaning and laundry services are implemented with appropriate monitoring systems in place to evaluate the effectiveness of these services.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12 residents with restraint and 9 residents with an enabler.  Restraint management processes are adhered.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as part of the ongoing in-service education programme.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118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7"/>
        <w:gridCol w:w="1280"/>
        <w:gridCol w:w="9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There were interviews with all seven registered nurses (two mental health and psychogeriatric services; one who works in all areas; two hospital; one unit coordinator from the hospital and one unit coordinator from the psychogeriatric and mental health units) reflected their understanding of the key principles of the Code.  Ten caregivers, (four mental health and psychogeriatric services and six hospital,) five activities staff, the clinical manager and the care home manager, also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nine of nine resident files sampled (four hospital, two mental health and three psychogeriatric).  Advance directives if known, were on the resident files.  Resuscitation plans were sighted in the files and were signed appropriately.  Copies of EPOA were on all files and activated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provided to residents and family on admission.  Pamphlets on advocacy services are available at the entrance to the facility and located around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they are able to participate in as much as they can safely and desire to do.  This includes resident’s visits to the local mall, visiting the library and attending community celebrations.  Resident/family meetings are held regularly and there are two monthly family participation groups in the mental health unit.</w:t>
            </w:r>
          </w:p>
          <w:p w:rsidR="00EB7645" w:rsidRPr="00BE00C7" w:rsidP="00BE00C7">
            <w:pPr>
              <w:pStyle w:val="OutcomeDescription"/>
              <w:spacing w:before="120" w:after="120"/>
              <w:rPr>
                <w:rFonts w:cs="Arial"/>
                <w:b w:val="0"/>
                <w:lang w:eastAsia="en-NZ"/>
              </w:rPr>
            </w:pPr>
            <w:r w:rsidRPr="00BE00C7">
              <w:rPr>
                <w:rFonts w:cs="Arial"/>
                <w:b w:val="0"/>
                <w:lang w:eastAsia="en-NZ"/>
              </w:rPr>
              <w:t>All residents, especially younger residents are provided with opportunities to engage in the community and younger residents are encouraged in these activities as they are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where verbal and written complaints are documented.  All complaints have noted investigation, timelines, corrective actions when required and resolutions.  Complaints are linked to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complaints lodged in 2015 around residents’ cares were thoroughly investigated and were subsequently signed off by CMDHB.  Because of the complaints received, corrective actions were established and implemented around manual handling, continence management, and short-term plans and have been embedded into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provided to new residents and their family. This information is also available at reception. The clinical manager/registered nurse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Seven residents (all from the hospital including, one younger person) and six relatives interviewed (one hospital level, three psychogeriatric level and two mental health level [interviewed by the consumer auditor]), report that the residents’ rights are being upheld by the service.  Interviews with residents and family also confirmed their understanding of the Code and its application to aged residential care and residential disability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decorate their rooms.  Residents in shared rooms have curtains for privacy and the occupation of shared rooms has been consented to by families (no residents in shared rooms were capable to consent).  Discussions of a private nature are held in the residents’ rooms or other private areas.  The caregivers interviewed reported that they knock on bedroom doors prior to entering and ensure doors are shut when cares are being given and do not hold personal discussions in public areas.  They reported that they encourage the residents' independence by encouraging them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Any suspected instances of abuse or neglect are dealt with in a prompt manner by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Three psychogeriatric resident files reviewed identified that cultural and/or spiritual values,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During this audit there were seven Māori residents living at the facility.  Cultural needs were identified in care plans reviewed.  Culturally appropriate meals including hangi and boil ups are frequently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Pacific residents are valued and fostered within the service.  They value and encourage active participation and input of the family in the day-to-day care of the resident.  During this audit, 26 residents (34% of residents) identified as Pacific living at the facility.  There are also a significant number of staff who identify as Pacific and all Pacific languages are spoken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All caregivers interviewed were aware of the importance of the relationships between the Pacific consumer, their family and their community in the delivery of care for Pacific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 cultural day celebrating different cultures represented at the facility is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two healthcare assistants from the psychogeriatric and mental health unit could describe how they build a supportive relationship with each resident.  Interviews with families from the psychogeriatric and mental health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(link 1.2.8.1).  A general practitioner (GP) visits the facility at least weekly, a nurse practitioner visits at least weekly, and an afterhours GP service is in place.  The general practitioner (GP) reviews residents identified as stable every three months, with more frequent visits for those residents whose condition is deemed not stable.  Residents in the mental health unit and psychogeriatric units are reviewed by the psychogeriatrician regularly.  The psychogeriatrician visits the service monthly and the psychiatric district nurses (a shared role by two people) visit at least fortnightly.</w:t>
            </w:r>
          </w:p>
          <w:p w:rsidR="00EB7645" w:rsidRPr="00BE00C7" w:rsidP="00BE00C7">
            <w:pPr>
              <w:pStyle w:val="OutcomeDescription"/>
              <w:spacing w:before="120" w:after="120"/>
              <w:rPr>
                <w:rFonts w:cs="Arial"/>
                <w:b w:val="0"/>
                <w:lang w:eastAsia="en-NZ"/>
              </w:rPr>
            </w:pPr>
            <w:r w:rsidRPr="00BE00C7">
              <w:rPr>
                <w:rFonts w:cs="Arial"/>
                <w:b w:val="0"/>
                <w:lang w:eastAsia="en-NZ"/>
              </w:rPr>
              <w:t>A physiotherapist works 22 hours per week and a dietitian is available as required.  There is a regular in-service education and training programme for staff.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level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In 2015, all quality goals were met. The weight management audit increased to above 95%, this remained above 95% in 2016 and medication incidents reduced by 10%.  This continues to decrease in 2016 with .2 per thousand bed-day’s (year to date) compared to a national average of 1.1 in the hospital and none recorded in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has been implemented across the facility.  A process was put in place alerting registered nurses of when assessments and reviews were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increased attendance at hospital resident and family meetings. This has been achieved by ensuring invitations are sent out with enough time for families to be able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resident files.  Accident/incident forms have a section to indicate if next of kin have been informed (or not) of an accident/incident.  Ten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Currently staff and families provide interpreter services.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newsletter is published to keep families informed of happenings at Parkhaven.  </w:t>
            </w:r>
          </w:p>
          <w:p w:rsidR="00EB7645" w:rsidRPr="00BE00C7" w:rsidP="00BE00C7">
            <w:pPr>
              <w:pStyle w:val="OutcomeDescription"/>
              <w:spacing w:before="120" w:after="120"/>
              <w:rPr>
                <w:rFonts w:cs="Arial"/>
                <w:b w:val="0"/>
                <w:lang w:eastAsia="en-NZ"/>
              </w:rPr>
            </w:pPr>
            <w:r w:rsidRPr="00BE00C7">
              <w:rPr>
                <w:rFonts w:cs="Arial"/>
                <w:b w:val="0"/>
                <w:lang w:eastAsia="en-NZ"/>
              </w:rPr>
              <w:t>There is a specific ‘Introduction to the psychogeriatric unit’ booklet providing information for family, friends and visitors to the facility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Parkhaven is part of the Bupa group.  The service is certified to provide hospital (medical and geriatric), mental health hospital, psychogeriatric and residential disability (intellectual, physical and sensory) level of care for up to 84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78 residents living at the facility.  Forty-four residents in two hospital wings included one resident on respite, five residents on a young person with disability (YPD) contract, four residents on a long term chronic conditions (LTCC) contract and one resident funded by ACC.  There were twelve residents in the mental health (MH) unit and twenty-two residents in the psycho-geriatric (PG) unit, which included one resident on a LTCC contract.  There were no residents at an intellectual or sensory disability level of care.  Twenty-five residents were enrolled in the day care programme, which is run by the activities staff (not reviewed as part of this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Parkhaven has identified specific and measurable quality goals for 2016 in their annual quality plan.  Progress reports are reported quarterly on goal achievement.</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(non-clinical) has been a Bupa manager for four years and has been managing Bupa Parkhaven for two years.  A clinical manager/registered nurse (RN) and a Bupa operations manager support her.  The clinical manager has ten years’ experience as an RN and holds a postgraduate certificate in older people’s health.  He is presently working on his advanced nursing degree.  He is supported by two unit coordinators/RNs.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manager have undertaken a minimum of eight hours of professional development over the past 12 months relating to the management of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with support from the operations manager.  In the absence of the clinical manager, the two unit coordinators, who are both registered nurses, are in 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2016 quality and risk management programme is in place.  Interviews with the care home manager, clinical manager and staff reflect their understanding of the quality and risk management systems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including those standards relating to the Health and Disability Services (Safety) Act 2001.  A document control system is in place.  Policies are regularly reviewed.  Policies and procedures are being updated to include reference to InterRAI for an aged care service.  New policies or changes to policy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pressure injuries, wounds, skin tears, challenging behaviours, complaints) are collated and analysed with results communicated to staff via meetings and on staff noticeboards.  Quality initiatives have been implemented including (but not limited to) to reduce bruising, improve RN documentation in residents’ progress notes, and utilise Bupa trained casual staff instead of bureau staff to cover staff shortages.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per the internal audit schedule.  Any area of non-compliance includes the implementation of a corrective action plan with sign-off by the clinical manager and/or care home manager when implemented.  Internal audit results and corrective actions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at Bupa Parkhaven includes a trained health and safety officer who is supported by the care home manager.  Annual health and safety goals are in place with quarterly reporting to head office on progress being made.  Staff undergo annual health and safety training.  They are encouraged to enrol in the Bupa Bfit programme.  The health and safety committee meets two-monthly.  Contractors require induction into the facility and sign a health and safety form when this has been completed.  The health and safety policy is currently under review by the Bupa head office to ensure that it complies with new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Other strategies include the use of sensor mats and low beds.  Residents at risk of falling are monitored with greater frequency.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being implemented.  Ten accident/incident forms were randomly selected for review.  A registered nurse and the clinical manager investigate all clinical events.  Accident/incident forms with a suspected injury to the head included two-hourly neurology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trended and analysed and are discussed with staff.  Staff interviewed confirmed that they are kept well informed about accidents/incidents in a variety of ways (eg, meetings, toolbox talks, handovers, and noticeboards).  There is evidence to support actions are undertaken to minimise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clinical manager confirmed their awareness of the requirement to notify relevant authorities in relation to essential notifications.  The DHB was notified following an influenza outbreak in July 2014.  One case of campylobacter was notified to Public Health in January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Bupa policy consumer participation - mental health units - describes the ways in which residents can participate in the service.  The eligibility criteria for this service requires that residents have dementia, which prohibits them from participating to a level involving input into planning and evaluation, and there are no terms of reference or employment of residents.  An annual relative satisfaction survey is completed and there are regular relative meetings.  Family/whānau members who have enduring power of attorney, on behalf of the client have input into the service through satisfaction surveys, regular family meetings and informal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family/whānau and carer participation policy describes how the service receives feedback and input from family, such as surveys and evaluations.  Family/whānau/carer input occurs at both formal and informal levels.  With residents consent (although no current residents have the capacity to provide informed consent) or enduring power of attorney families/whānau/carer and/or significant others are asked to participate in the personal care planning process.  There is a two monthly family participation meeting in the mental health unit, with management in attendance for residents and families to participate in service planning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also verbal feedback to staff, satisfaction surveys, and the availability of the complaints process.  Staff from the mental health unit were very aware of the importance of family/whānau involvement in resident’s treatment and actively supports this.  Family members from the mental health unit reported feeling included and valued and that feedback and ideas listened to and acted on.  Family/whānau are not currently used in an advisory capacity however, clear terms of reference have been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includes the recruitment and staff selection process.  There are relevant checks completed to validate the individual’s qualifications, experience and veracity.  Copies of current practising certificates are retained for all health professionals.  Ten staff files were reviewed (one clinical manager, three registered nurses, three caregivers, two kitchen/laundry staff, one activities assistant).  Reference checks are completed before employment is offered.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in-service education programme is being implemented which is supplemented with impromptu toolbox talks during staff handovers and staff regularly completing competency questionnaires.  Caregivers are encouraged to complete an aged care education programme.  Three staff working in the garden wing (mental health and psychogeriatric) have been employed for over one year and have not completed their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implemented a PDRP programme approved by the NZ Nursing Council.  Three RN staff have completed their PDRP and one RN is working on hers.  The nursing staff attend external training provided by the organisation and the DHB.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reports that there are a range of in-services provided annually in relation to residential disability services including (but not limited to) suicide prevention, sexuality and intimacy, cultural competency (one YPD resident identifies as Māori), and advanced nursing practice.</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reports that staff annual performance appraisals are behind schedule.  This was confirmed in a selection of staff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describes staff rationale and skill mix.  The clinical manager and two unit coordinators (one hospital wing and one psychogeriatric (PG) and mental health (MH) garden wing) are registered nurses who work Monday through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is rostered to work in the garden wing 24/7, which includes MH and PG residents.  Hospital level nurse staffing alternates between an enrolled nurse and a registered nurse on the night and weekend shifts.  Adequate numbers of caregivers are rostered.  Activities staff are rostered for the care home and the day care programme. </w:t>
            </w:r>
          </w:p>
          <w:p w:rsidR="00EB7645" w:rsidRPr="00BE00C7" w:rsidP="00BE00C7">
            <w:pPr>
              <w:pStyle w:val="OutcomeDescription"/>
              <w:spacing w:before="120" w:after="120"/>
              <w:rPr>
                <w:rFonts w:cs="Arial"/>
                <w:b w:val="0"/>
                <w:lang w:eastAsia="en-NZ"/>
              </w:rPr>
            </w:pPr>
            <w:r w:rsidRPr="00BE00C7">
              <w:rPr>
                <w:rFonts w:cs="Arial"/>
                <w:b w:val="0"/>
                <w:lang w:eastAsia="en-NZ"/>
              </w:rPr>
              <w:t>Extra staff can be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Other residents or members of the public cannot view sensitive resident information.  Entries in records are legible, dated and signed by the relevant carer.  Residents’ files demonstrate service integration.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Access to the mental health unit, which is a regional unit, is via the Counties Manukau Mental Health of Older Persons service.  When a resident is referred via this service or a resident is referred to the psychogeriatric unit, the unit coordinator completes a pre-admission assessment prior to admission, to ensure stability for the service.  Residents are admitted to the mental health unit under a compulsory treatment order (CTO).  Needs assessors are involved in the pre-entry screening for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information booklet for residents/families/whānau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admission agreements reviewed, aligned with a) - k) of the ARC contract.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r w:rsidRPr="00BE00C7">
              <w:rPr>
                <w:rFonts w:cs="Arial"/>
                <w:b w:val="0"/>
                <w:lang w:eastAsia="en-NZ"/>
              </w:rPr>
              <w:t>Written information on the service philosophy and practices particular to the psychogeriatric and mental health units, including minimisation of restraint, behaviour management and complaint policy are included in the information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relation to mental health services provided:  Residents in the mental health unit are all assessed as requiring a secure mental health unit providing 24-hour care.  Residents are not usually discharged home but do move to lower levels of care if reassessed.  If a resident transfers to unit, detailed information is provided.  Usually this occurs within the facility and the entire resident file moves with the resident.  </w:t>
            </w:r>
          </w:p>
          <w:p w:rsidR="00EB7645" w:rsidRPr="00BE00C7" w:rsidP="00BE00C7">
            <w:pPr>
              <w:pStyle w:val="OutcomeDescription"/>
              <w:spacing w:before="120" w:after="120"/>
              <w:rPr>
                <w:rFonts w:cs="Arial"/>
                <w:b w:val="0"/>
                <w:lang w:eastAsia="en-NZ"/>
              </w:rPr>
            </w:pPr>
            <w:r w:rsidRPr="00BE00C7">
              <w:rPr>
                <w:rFonts w:cs="Arial"/>
                <w:b w:val="0"/>
                <w:lang w:eastAsia="en-NZ"/>
              </w:rPr>
              <w:t>For all residents: The service has transfer and discharge procedures in place.  Inter-facility transfers and transfers to hospital are planned and coordinated, in consultation with the family/whānau as appropriate.  All relevant information is documented and communicated to the receiving health provider or service.  Follow up occurs to check that the resident is settled, or in the case of death, communication with the family is made and this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(RNs only) who administer medications have been assessed for competency on an annual basis.  Education around safe medication administration has been provided.  Staff were observed to be safely administering medications.  Standing orders are used.  No residents were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reviewed identified that the GP/NP had seen and reviewed the resident three monthly.  Not all charts had PRN medication use detailed.  Anti-psychotic management plans are used for residents using anti-psychotic medications when medications are commenced, discontinued or changed.  The psychiatrist reviews the management plans at least two 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Eighteen medication charts sampled (ten hospital, four psychogeriatric and four mental health) identified that the GP or psychiatrist had reviewed the medication chart three monthly.  Medication charts demonstrated appropriate prescribing except for some ‘as required’ medications, documentation of allergies, photographic identification and at least three monthly reviews by a GP/NP.  Administration records sampled correspond with prescribed medications.</w:t>
            </w:r>
          </w:p>
          <w:p w:rsidR="00EB7645" w:rsidRPr="00BE00C7" w:rsidP="00BE00C7">
            <w:pPr>
              <w:pStyle w:val="OutcomeDescription"/>
              <w:spacing w:before="120" w:after="120"/>
              <w:rPr>
                <w:rFonts w:cs="Arial"/>
                <w:b w:val="0"/>
                <w:lang w:eastAsia="en-NZ"/>
              </w:rPr>
            </w:pPr>
            <w:r w:rsidRPr="00BE00C7">
              <w:rPr>
                <w:rFonts w:cs="Arial"/>
                <w:b w:val="0"/>
                <w:lang w:eastAsia="en-NZ"/>
              </w:rPr>
              <w:t>Temperatures of medication fridges have been documented as per policy.  There were no expired medications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Parkhaven are prepared and cooked on site.  Three cooks cover the week.  There is a four weekly seasonal menu, which had been reviewed by a dietitian.  Meals are plated in the kitchen and delivered in scan boxes, to each unit’s dining area.  Dietary needs are known with individual likes and dislikes accommodated.  Pureed, gluten free,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psychogeriatric unit and hospital.  Supplements are provided to residents with identified weight loss issues.  One-to-one feedback, plate waste audits, resident/relative meetings and surveys allow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following cooking and on loading into scan boxes.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over 24 hours in the mental health and psychogeriatric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reasons for declining entry would be if the service were unable to provide the specialised care required or there are no beds available.  Management communicate directly with the referring agencies and family/whānau as appropriate, if entry is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assessments are completed on admission for all residents.  Cultural assessments were completed in all nine resident files sampled.  The care plans document the resident’s cultural needs, values and spirituality and supports (including support persons) available to ensure the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Resident needs and supports are identified through InterRAI triggers and the ongoing assessment process in consultation with significant others.  InterRAI assessments have been undertaken on all residents and are used for six monthly reviews.  The diversional therapist (DT) completes an activity assessment that identifies individual activities and preferences.  A ‘My Day, My Way’ plan is completed which documents the resident’s cultural needs, values and spirituality and supports (including support persons) available to ensure the resident’s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All identified support needs were included in the care plans for nine of nine residents files sampled.  Care plans sampled evidenced resident (as appropriate)/family/whānau involvement in the care plan process.  Relatives interviewed confirmed they are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three psychogeriatric resident files reviewed identified current abilities, level of independence, identified needs and specific behavioural management strategies.  Behaviour charts and behaviour monitoring charts were in use, as appropriate, for escalation in behaviours.   </w:t>
            </w:r>
          </w:p>
          <w:p w:rsidR="00EB7645" w:rsidRPr="00BE00C7" w:rsidP="00BE00C7">
            <w:pPr>
              <w:pStyle w:val="OutcomeDescription"/>
              <w:spacing w:before="120" w:after="120"/>
              <w:rPr>
                <w:rFonts w:cs="Arial"/>
                <w:b w:val="0"/>
                <w:lang w:eastAsia="en-NZ"/>
              </w:rPr>
            </w:pPr>
            <w:r w:rsidRPr="00BE00C7">
              <w:rPr>
                <w:rFonts w:cs="Arial"/>
                <w:b w:val="0"/>
                <w:lang w:eastAsia="en-NZ"/>
              </w:rPr>
              <w:t>One of two mental health resident files reviewed had a documented plan that identified early warning signs and relapse-prevention strategies.  Both files documented that families are involved in care planning, and care and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short-term needs.  Short-term care plans sighted in resident files were for pressure injury, pain, wound and skin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in the resident file sampled in the family/whānau contact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mental health and psychogeriatric units have designated psychiatric nurses.  A psychiatrist also visits the mental health unit and psychogeriatric service monthly for scheduled reviews and more often if required.  Mental health resident files reviewed document that the care and support provided is consistent with needs and fully communicated to family. The need for a secure unit has been documented by referral agencies.  The mental health residents whose files were reviewed receive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input into resident’s well-being in the psychogeriatric unit.  The care team and activities staff could describe strategies for the provisions of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skin tears and pressure areas (three sacral).  There is evidence of GP involvement and photos for chronic wounds/pressure areas.  Chronic wounds have been linked to the long-term care plans.  There was evidence of wound nurse specialist, dietitian and NP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routinely weighed (monthly).  Nutritional requirements and assessments are completed on admission, identifying resident nutritional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Three registered nurses and one enrolled nurse were able to describe access for wound and continence specialist input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position for an occupational therapist who oversees the recreation programme for 20 hours per week.  The position was recently vacated and is being actively recruited for.  The remaining activities team consists of a full time activities coordinator, three full time activities assistants and an activities assistant who works Monday to Friday.  This team also supports the day care residents in a combined programme with hospital residents.  The activity team provides individual and group activities in the hospital, psychogeriatric and mental health units.  The programmes in the mental health and psychogeriatric units are flexible, according to residents needs and include a significant number of 1:1 activities.  These units also have documented programmes provided for staff to implement when the activities staff are not present.  Activities staff have scheduled times to provide 1:1 care for residents who are not able to or do not wish to engage in the group activities.  Activities in each unit are varied and interesting and meet the needs of residents.  There are regular outings/drives, inter-home visits for the choir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Specific activities including opportunities to attend community groups and activities are specifically provided for the group of younger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were observed at various times throughout the day diverting residents from behaviours in the dementia, mental health and psychogeriatric units.  The individual activities observed were appropriate for older people with mental health conditions.  Residents attend activities in other units as appropriate. There are resources available for care staff to use for one-on-one time with the resident. Staff could describe a low stimulus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stated they were satisfied with the activities provided and that staff were involved in activities with their loved ones, even if only passive participation.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and ‘Map of Life’ is completed on admission in consultation with the resident/family (as appropriate).  Activity plans sighted in eight of nine files (one file was very new admission and one was for a resident on respite care), were reviewed six monthly at the same time as the care plans.  Activity participation sheets were maintained in files sampled.  Families are invited to resident meetings.  The service also receives feedback and suggestions for the programmes through surveys and one-on-one feedback from residents (as appropriate)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evaluated all initial care plans (sampled) within three weeks of admission. Long-term care plans have been reviewed at least six monthly in seven of nine files sampled (one file was on respite and another was a new admission) or earlier for any health changes.  The multidisciplinary team (MDT) including the GP, are involved in the care plan reviews – on interview the GP confirmed involvement.  The GP/NP reviews the residents at least three monthly or earlier if required.  The psychiatrist reviews the psychotropic medications for the mental health and psychogeriatric unit residents.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nine resident files sampled.  The service facilitates access to other medical and non-medical services.  Referral documentation is maintained on resident files.  Examples of referrals sighted were to mental health services for the older person, physiotherapist, hospital specialists, wound nurse, nurse practitioner, ophthalmology clinic, podiatrist and dietitian.  The service liaises closely with the needs assessment team, geriatrician, psychogeriatric and mental health team.  There was evidence of where a resident’s conditions had changed and the resident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 bottles sighted have correct manufacturer labels.  Chemicals are stored in locked areas.  Personal protective clothing is available for staff and was seen to be worn by staff when carrying out their duties during the audit.  Blood and chemical spills kit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16 March 2017.  A maintenance/gardener staff member works 30 hours per week and is available on call for facility matters.  Planned and reactive maintenance systems are in place.  All electrical equipment has been tested and tagged.  Clinical equipment has had functional checks/calibration annually.  Hot water temperatures have been tested and recorded fortnightly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and secure outdoor areas in the secure units.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 and mental health units have large lounges and dining areas with a separate quiet area.  There are external areas with seating where quieter activities or family visits can take place.  There are quiet, low stimulus areas that provide privacy when required.  For safety reasons, staff control access to the bedrooms and garden areas in the mental health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both shared ensuites and communal use bathrooms/toilets in the hospital.  There are communal toilets and showers in the psychogeriatric unit and mental health units.  There are communal toilets located near the lounge/dining rooms.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both single and dual occupancy rooms.  There is adequate room to safely manoeuvre mobility aids and transferring equipment such as hoists in the resident bedrooms.  Residents and families are encouraged to personalize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an open plan lounge and dining area in the hospital plus several smaller lounges.  The psychogeriatric and mental health units each have a large lounge with staff present at all times and a separate dining area.  There are smaller lounges and a family room within the facility.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is dedicated housekeeping staff seven days a week.  Cleaning trolleys are kept in designated locked cupboards.  Laundry is completed by a service external to Parkhaven that services several aged care homes, on the Parkhaven site.  Residents and family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available.  Fire evacuation drills take place every six months.  The orientation programme and annual education and training programme include mandatory fire and security training.  Staff interviewed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use.  Residents were observed in their rooms with their call bell alarms in close proximity.  A minimum of one person is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implemented at Parkhaven.  The infection control programme is appropriate for the size, complexity and degree of risk associated with the service and has been linked into the incident reporting system.  The clinical manager is the designated infection control nurse with support from the registered nurses and other Bupa infection control coordinators.  The IC team meets as part 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Parkhaven.  The infection control (IC) nurse has maintained his practice by completing online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The infection control coordinator, who has completed training to ensure knowledge of current practice, facilitates education.  All infection control training has been documented and a record of attendance has been maintained.  Visitors are advised of any outbreaks of infection and are advised not to attend until the outbreak had been resolved.  Information is provided to residents and visitors that is appropriate to their needs and this was documented in medical records.  Education around infection prevention and control has been provided in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except urinary tract infections (UTIs) in the hospital.  Infections (except hospital UTIs) are included on a monthly register and the infection control coordinator completes a monthly report.  Infection control data is collated monthly and reported at the quality meetings.  The infection control programme is linked with the quality management programme.  </w:t>
              <w:br/>
              <w:t>Internal infection control audits also assist the service in evaluating infection control needs. There is close liaison with the GP and nurse practitioner who advise and provide feedback/information to the service.  Systems in place are appropriate to the size and complexity of the facility.  An influenza outbreak in July and August 2015 was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 of restraint and enabler that are congruent with the definition in NZS 8134.0.  Staff education on RMSP/enablers has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twelve residents with an approved restraint (bed rails, lap belt, and low bed) and nine residents with an enabler (lap belts, bedrails).  All required documentation has been completed in relation to enabler use under the restraint minimisation standard, evidenced on one resident file selected for review.  Staff interviews and staff records evidence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roles and responsibilities for the designated restraint coordinator (RN) and for staff are documented and understood, evidenced in interviews with the restraint coordinator and care staff.  The restraint approval form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Either an RN or the restraint coordinator/RN undertakes assessments in partnership with the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Two hospital-level residents’ files were reviewed where restraint was in use (lap belts and bed rails).  Ongoing consultation with the resident and family/whānau were evident.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include bed rails, lap belts and low beds.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audits measure staff compliance in following restraint procedures.  Each episode of restraint is scheduled to be monitored at pre-determined intervals depending on individual risk to that resident.  Monitoring is supposed to be documented on a specific restraint monitoring form and was evidenced in two residents’ files for the use of bedrails but not for the use of lap belts.  When residents are taken into the lounge with a lap belt on, restraint monitoring is visual but is not being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three-monthly as part of the ongoing reassessment of residents on the restraint register, and as part of the care plan review.  Families are invited to be included as part of this review.  A review of two files of residents using restraints identified that evaluations were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Bupa teleconference restraint meetings, which is attended by the restraint coordinators from the Bupa aged care facilities.  Meeting minutes include (but are not limited to) a review of the restraint and challenging behaviour education and training programme for staff and review of the organisation’s restraint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590"/>
        <w:gridCol w:w="1280"/>
        <w:gridCol w:w="3565"/>
        <w:gridCol w:w="1922"/>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education and training programme is in place for staff that includes in-service training, competency questionnaires and toolbox talks.  In-services are repeated to improve attendance rates.</w:t>
            </w:r>
          </w:p>
          <w:p w:rsidR="00EB7645" w:rsidRPr="00BE00C7" w:rsidP="00BE00C7">
            <w:pPr>
              <w:pStyle w:val="OutcomeDescription"/>
              <w:spacing w:before="120" w:after="120"/>
              <w:rPr>
                <w:rFonts w:cs="Arial"/>
                <w:b w:val="0"/>
                <w:lang w:eastAsia="en-NZ"/>
              </w:rPr>
            </w:pPr>
            <w:r w:rsidRPr="00BE00C7">
              <w:rPr>
                <w:rFonts w:cs="Arial"/>
                <w:b w:val="0"/>
                <w:lang w:eastAsia="en-NZ"/>
              </w:rPr>
              <w:t>Two out of 10 staff files reviewed reflected overdue annual performance appraisals.  The care home manager confirmed there are a few staff that have not had a performance appraisal completed in the past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caregiver staff are rostered to work in the garden wing (PG unit and MH unit).  One of sixteen caregiver staff has been employed for less than one year and is enrolled and working on completing her dementia standards.  Three of sixteen staff who have been employed for over one year have not completed the required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out of 10 staff files reviewed reflected overdue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sixteen staff who have been employed for over one year and work in the garden wing (psychogeriatric and mental health) have not completed the required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staff undergoes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staff who have been employed for over one year complete the required dementia standards before they are rostered to work in the psychogeriatric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is rostered 24/7 to work in the garden wing (PG and MH residents live in two separate, distinct areas with a shared staff office).  Hospital level staffing alternates between an enrolled nurse and a registered nurse on the night and weekend shifts.  Adequate numbers of caregivers are rostered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Six activities staff (5.8 full time equivalents) are employed to provide activities for residents Monday-Friday in the hospital, PG and MH units and for the day programme clients.  Caregivers are not rostered for the day care programme although the communal area for the hospital wings is shared with day programme clients.  Caregivers interviewed confirmed that their assistance with the day programme is not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rationale for the hospital has an enrolled nurse working on weekends and during the night shift with no other registered nursing support in the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hospital wings are staffed with a registered nurse 24 hours a day, seven days a week.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sampled in the hospital wing all have appropriate medication prescribing documented.  ‘As required’ medications prescribed in the mental health and psychogeriatric wings by the psychiatrist did not all have indications for use documented.  Previous charts (current until 2 May 2015) sighted, had indications for use hand written for these medications and this had not been included on the pharmacy generated charts that were reprinted and became current on 3 May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eight medication charts sampled in the psychogeriatric and mental health units did not have ‘indications for use’ documented for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indications for use are documented for all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1.3.5.4</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plan identifies early warning signs and relapse prevention. The plan is developed in partnership with the consumer, the service provider, and family/ whānau if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two files sampled (for a new admission) had recent documentation from the DHB that clearly documented early warning signs and triggers and prevention of these for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two files sampled in the mental health unit did not have early warning signs or relapse-prevention plans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in the mental health unit have early warning signs and relapse-prevention plans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included in surveillance (and benchmarking) data are determined by the Bupa standardised definitions.  Confusion around the interpretation of the definition of UTIs by the clinical manager and hospital coordinator means no UTIs in the hospital were included in the infection-control surveillance data for the past 18 months.  Review of medical notes and laboratory records confirmed that UTIs have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UTIs in the hospital have not been included in the infection-control surveillance data for the past 18 months. (However, management of individual UTIs have occurred and therefore this criterion has been rated as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infections are included in infection-control surveillance data.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files were selected for review.  Both residents were using bedrails and lap belts as restraints.  Monitoring forms are retained in each resident’s room.  Documented evidence of two-hourly monitoring while bedrails were in place, was evidenced for both residents.  Missing was documented evidence of monitoring while lap belts were used as restraint.  The restraint coordinator remarked that this is because the resident is taken to the lounge when using a lap belt, where staff are present and visually monitor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lap belts are in situ, residents are in a communal area and staff monitor the residents visually but this is not being documented on a restraint monitoring form.  Monitoring forms were completed for the residents’ two-hourly checks in their rooms when bedrails were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lap belts, when used as a restraint, are monitored with evidence of monitoring documented on the appropriate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ParkHaven Hospital</w:t>
    </w:r>
    <w:bookmarkEnd w:id="58"/>
    <w:r>
      <w:rPr>
        <w:rFonts w:cs="Arial"/>
        <w:sz w:val="16"/>
        <w:szCs w:val="20"/>
      </w:rPr>
      <w:tab/>
      <w:t xml:space="preserve">Date of Audit: </w:t>
    </w:r>
    <w:bookmarkStart w:id="59" w:name="AuditStartDate1"/>
    <w:r>
      <w:rPr>
        <w:rFonts w:cs="Arial"/>
        <w:sz w:val="16"/>
        <w:szCs w:val="20"/>
      </w:rPr>
      <w:t>10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