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 Waikato Care of the Aged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 Waikato Care of the Aged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Kimihia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2016</w:t>
      </w:r>
      <w:bookmarkEnd w:id="7"/>
      <w:r w:rsidRPr="009418D4">
        <w:rPr>
          <w:rFonts w:cs="Arial"/>
        </w:rPr>
        <w:tab/>
        <w:t xml:space="preserve">End date: </w:t>
      </w:r>
      <w:bookmarkStart w:id="8" w:name="AuditEndDate"/>
      <w:r w:rsidR="00A4268A">
        <w:rPr>
          <w:rFonts w:cs="Arial"/>
        </w:rPr>
        <w:t>2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Kimihia Home and Hospital is owned by a community trust board and provides rest home, hospital, dementia and palliative care services for up to 77 residents. </w:t>
      </w:r>
    </w:p>
    <w:p w:rsidRPr="00A4268A">
      <w:pPr>
        <w:spacing w:before="240" w:line="276" w:lineRule="auto"/>
        <w:rPr>
          <w:rFonts w:eastAsia="Calibri"/>
        </w:rPr>
      </w:pPr>
      <w:r w:rsidRPr="00A4268A">
        <w:rPr>
          <w:rFonts w:eastAsia="Calibri"/>
        </w:rPr>
        <w:t xml:space="preserve">The audit was conducted against the relevant Health and Disability Services Standards for a residential aged care provider at an unannounced surveillance audit and the services contract with the district health board. The audit process included the review of policies and procedures, the review of staff and resident files, observations, interviews with residents, family/whānau, management, staff and a general practitioner. </w:t>
      </w:r>
    </w:p>
    <w:p w:rsidRPr="00A4268A">
      <w:pPr>
        <w:spacing w:before="240" w:line="276" w:lineRule="auto"/>
        <w:rPr>
          <w:rFonts w:eastAsia="Calibri"/>
        </w:rPr>
      </w:pPr>
      <w:r w:rsidRPr="00A4268A">
        <w:rPr>
          <w:rFonts w:eastAsia="Calibri"/>
        </w:rPr>
        <w:t xml:space="preserve">There were six areas for improvement identified at the previous full certification audit. Four of these now evidence improvements have been implemented in relation to documenting corrective action plans, staff orientation, staff education and the review of the restraint minimisation programme. There are two that still require further embedding into practice in relation to assessment and evaluation of care. As these ongoing areas for improvement have not been fully embedded into practice, the risk ratings for these have been increased from low at the previous audit to moderate this audit. In addition, there are two further improvement related short term care planning and the complaints register.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There are appropriate processes and communication methods in place for effective communication with residents and families. As required interpreting services can be accessed. Residents and families receive full and frank information and open disclosure from staff. </w:t>
      </w:r>
    </w:p>
    <w:p w:rsidRPr="00A4268A">
      <w:pPr>
        <w:spacing w:before="240" w:line="276" w:lineRule="auto"/>
        <w:rPr>
          <w:rFonts w:eastAsia="Calibri"/>
        </w:rPr>
      </w:pPr>
      <w:r w:rsidRPr="00A4268A">
        <w:rPr>
          <w:rFonts w:eastAsia="Calibri"/>
        </w:rPr>
        <w:t>The service has a documented complaints management system implemented. There are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services are governed by a community trust board. The service is managed by a facility manager and a senior management team. The facility manager has appropriate experience and qualifications in the management of an aged care service. The organisation’s mission statement, vision, goals and philosophy are clearly documented. The ongoing strategic direction and organisational performance is monitored through the management team and the board.   </w:t>
      </w:r>
    </w:p>
    <w:p w:rsidRPr="00A4268A">
      <w:pPr>
        <w:spacing w:before="240" w:line="276" w:lineRule="auto"/>
        <w:rPr>
          <w:rFonts w:eastAsia="Calibri"/>
        </w:rPr>
      </w:pPr>
      <w:r w:rsidRPr="00A4268A">
        <w:rPr>
          <w:rFonts w:eastAsia="Calibri"/>
        </w:rPr>
        <w:t xml:space="preserve">The current quality and risk system and processes support safe service delivery and include corrective actions. The quality management system includes identification of hazards, staff education and training, an internal audit process, complaints management, data reporting of incidents/accidents and infections. </w:t>
      </w:r>
    </w:p>
    <w:p w:rsidRPr="00A4268A">
      <w:pPr>
        <w:spacing w:before="240" w:line="276" w:lineRule="auto"/>
        <w:rPr>
          <w:rFonts w:eastAsia="Calibri"/>
        </w:rPr>
      </w:pPr>
      <w:r w:rsidRPr="00A4268A">
        <w:rPr>
          <w:rFonts w:eastAsia="Calibri"/>
        </w:rPr>
        <w:t xml:space="preserve">Policies and procedures are reviewed on a regular basis and reflect current accepted good practice. </w:t>
      </w:r>
    </w:p>
    <w:p w:rsidRPr="00A4268A">
      <w:pPr>
        <w:spacing w:before="240" w:line="276" w:lineRule="auto"/>
        <w:rPr>
          <w:rFonts w:eastAsia="Calibri"/>
        </w:rPr>
      </w:pPr>
      <w:r w:rsidRPr="00A4268A">
        <w:rPr>
          <w:rFonts w:eastAsia="Calibri"/>
        </w:rPr>
        <w:t xml:space="preserve">The service implements the documented staffing levels and skill mix. The rosters record that there are adequate staff each shift to comply with contractual requirements. Human resources management and education processes are implemented and identify appropriate systems are implemented.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Care plans are consistently developed for all residents. Interventions are sufficiently detailed to address the desired outcomes.</w:t>
      </w:r>
    </w:p>
    <w:p w:rsidRPr="00A4268A" w:rsidP="00621629">
      <w:pPr>
        <w:spacing w:before="240" w:line="276" w:lineRule="auto"/>
        <w:rPr>
          <w:rFonts w:eastAsia="Calibri"/>
        </w:rPr>
      </w:pPr>
      <w:r w:rsidRPr="00A4268A">
        <w:rPr>
          <w:rFonts w:eastAsia="Calibri"/>
        </w:rPr>
        <w:t>Improvements are required in relation to evaluation of care plans and short term care planning. The previous areas for improvements in relation to assessment and evaluations remain not addressed.</w:t>
      </w:r>
    </w:p>
    <w:p w:rsidRPr="00A4268A" w:rsidP="00621629">
      <w:pPr>
        <w:spacing w:before="240" w:line="276" w:lineRule="auto"/>
        <w:rPr>
          <w:rFonts w:eastAsia="Calibri"/>
        </w:rPr>
      </w:pPr>
      <w:r w:rsidRPr="00A4268A">
        <w:rPr>
          <w:rFonts w:eastAsia="Calibri"/>
        </w:rPr>
        <w:t>Planned activities are appropriate to the needs, age and culture of the residents. Residents reported that activities are enjoyable and meaningful to them.</w:t>
      </w:r>
    </w:p>
    <w:p w:rsidRPr="00A4268A" w:rsidP="00621629">
      <w:pPr>
        <w:spacing w:before="240" w:line="276" w:lineRule="auto"/>
        <w:rPr>
          <w:rFonts w:eastAsia="Calibri"/>
        </w:rPr>
      </w:pPr>
      <w:r w:rsidRPr="00A4268A">
        <w:rPr>
          <w:rFonts w:eastAsia="Calibri"/>
        </w:rPr>
        <w:t>The medicine management system consistently meets the required regulations and guidelines.</w:t>
      </w:r>
    </w:p>
    <w:p w:rsidRPr="00A4268A" w:rsidP="00621629">
      <w:pPr>
        <w:spacing w:before="240" w:line="276" w:lineRule="auto"/>
        <w:rPr>
          <w:rFonts w:eastAsia="Calibri"/>
        </w:rPr>
      </w:pPr>
      <w:r w:rsidRPr="00A4268A">
        <w:rPr>
          <w:rFonts w:eastAsia="Calibri"/>
        </w:rPr>
        <w:t>Food services meet the individual food, fluids and nutritional needs of the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and comprehensive policies and procedures which meet the requirements of the restraint minimisation and safe practice standard. There are established systems and practices. Risk management plans are in place.  Staff training occurs at least annually. Monitoring and review of individual restraint interventions occurs at an appropriate frequency. The restraint register is current.</w:t>
      </w:r>
    </w:p>
    <w:p w:rsidRPr="00A4268A">
      <w:pPr>
        <w:spacing w:before="240" w:line="276" w:lineRule="auto"/>
        <w:rPr>
          <w:rFonts w:eastAsia="Calibri"/>
        </w:rPr>
      </w:pPr>
      <w:r w:rsidRPr="00A4268A">
        <w:rPr>
          <w:rFonts w:eastAsia="Calibri"/>
        </w:rPr>
        <w:t>The previous area for improvement has been fully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conducted monthly. Results of surveillance are collected, collated and analysed to identify any trends and prevent or minimise further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8"/>
        <w:gridCol w:w="1280"/>
        <w:gridCol w:w="100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complaints policy and process complies with Right 10 of the Code. Complaints management is explained as part of the admission process and is included in the information given to new residents and family/whānau. Complaints forms are on display and easily accessible. Complaints management is included in new staff orientation and included in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registers sighted were not completed and the complaints folder did not contain all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to meet the resident’s communication needs. The current residents are able to communicate in English. The service has had previous residents who do not speak English, with the example given that staff and the resident’s family were able to provide interpreting services for the resident. External interpreters (including sign language) can be accessed as required.  Staff education has been provided related to appropriate communication methods for residents with cognitive impairment and non-verbal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open disclosure following incidents/accidents is evident in the files reviewed. Staff demonstrated knowledge of open disclosure. The residents and families report that staff communicate effectively and that families are informed of any accidents/incidents that have occurred with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Kimihia is a chartable community owned trust, which provides rest home, hospital, dementia care and palliative care to long term and short stay respite residents. The facility is able to accommodate up to 77 residents. On the day of audit there were 71 residents (21 hospital level of care, 12 dementia level of care and 38 rest home level of care), includes two younger people under the age of 65 and one residents was receiving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managers as part of the senior management team, this includes the facility manager, clinical nurse manager, clinical administration manager, household services manager and accounts manager. Each role has a job description that describes their roles, responsibilities and authorities. The organisational structure sighted confirms the role and that the facility manager reports to the Board of Trustees. The organisation is governed by a board of trustees. The strategic direction for the organisation was documented and had been approved by the board. The monthly board reports record that the strategic direction, objects and goals are reviewed through the board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 time facility manager is a registered nurse with a current practicing certificate, who has suitable experience and qualifications for the management of the service. The manager was on leave at the time of the surveillance audit. The facility manager’s file confirms they have the authority and responsibility for organisational performance including the day to day running of the business, financial matters, quality and risk systems and human resources. The facility manager’s job description and curriculum vitae confirmed that the facility manager held had the relevant clinical and management qualifications. The facility manager’s nursing portfolio provided evidence of on-going training and education. The board conducts an annual performance appraisal for the facility manager, with this was last recorded for December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administration manager (in the acting facility management role in the temporary absence of the facility manager) and clinical nurse manager are both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overall satisfaction with the care and services provided at Kimihia.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and quality and risk process in place which covers all aspects of service delivery. Quality planning identifies generalised goals and objectives and the measure used to identify how the controls are effective or responsive to resident needs. This includes quality data collection and analysis to identify any areas of deficit which are addressed using corrective action processes. Corrective actions were sighted related to internal audits, complaints, environmental issues, care planning, and identified risks. The corrective actions sighted evidenced that the corrective actions implemented are reviewed and have been effective, this addresses the previous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findings are shared with the board in monthly reports. The data findings are shared with staff by displaying in the staff room and at monthly staff meetings as identified in minutes sighted. Quality data information is used to inform the ongoing improvement and planning of services.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developed by an aged care consultant and are personalised to the service. Any changes or newly introduced policies are shared with staff at the monthly staff meetings. Staff confirmed that they understand and implement documented quality and risk processes. This includes the update of policies and procedures, regular internal audits, incident and accident reporting, health and safety reporting, infection control data collection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identifies all known hazards and shows the actions put in place to minimise, isolate or eliminate risks.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and staff understand their obligations in relation to essential notification reporting and knew which regulatory bodies must be notified as identified in policy. This includes the reporting of stage 3 and above pressure injuries. There are records of essential notifications sighted to Worksafe and the Ministry of Health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information is shared with all staff, displayed in the staff room and any corrective actions that have been taken are evaluated. The falls and incident data is reviewed to make improvements when shortfalls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meets the requirements of legislation. Newly appointed staff are police vetted upon employment, referees are checked and job descriptions clearly describe staff responsibilities. Staff complete an orientation/induction programme with specific competencies for their roles, such as medication management, as confirmed during staff file reviews and interviews with staff. The orientation records were sighted in all staff files reviewed, this addresses the previous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records sighted identify that staff education includes on-site planned education with topics being presented by the gerontology nurse specialist and off-site seminars and training days. Individual training records were sighted. The service has developed and implemented a spreadsheet for the training plan and a spreadsheet of attended to addresses the previous area for improvement. The service is now able to demonstrate that the system for recording attendance at training ensures all staff are attending the required mandatory training topics.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five RNs that are trained in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who work in the dementia unit are ether in the process of completing or have completed the required dementia care training. The activities staff in the dementia unit have diversional therapy training and training related to the Spark of Life model of conducting meaningful activities with residents who have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for ensuring staffing levels allow safe and efficient services to be delivered to residents to meet all their identified needs. Rosters sighted identify that the skill mix is based on and exceeds the contractual requirements for staffing levels for rest home, hospital and dementia level of care. The staffing considers the layout of the building in the different levels of care in each of the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replaced for annual leave or sick leave. Staff verbalised that they have sufficient time and staff to complete their required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specific cleaning, cooking and activities roles to adequately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stated all their needs are met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consistently implemented to ensure that the residents receive medicines in a safe and timely manner.  Medication charts are legible and photos are present. Medication charts are reviewed regularly. All discontinued medications are signed for and dated by the GP. Allergies are documented. The controlled drugs register is current. Weekly stocktakes are conducted by the RNs while the six-monthly controlled drugs register check is conducted by the pharmacist. Stock medications are checked weekly.</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is monitored and the temperature is recorded daily. The readings are within the required ranges and when readings have variance, this was addressed immediately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is conducted by the RNs when a resident is discharged back to the service. There are no expired or unwanted medications. A system is in place when returning expired or unwanted medications back to the pharmacy.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administering medications complied with the medication administration policies and procedures as evidenced in the observed medications rounds in both rest home and hospital. Current medication competencies are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however there are self-administration policies and procedures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 system is in place when receiving deliveries. All meals are prepared and cooked onsite. There are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There is evidence that RNs complete the dietary requirement forms on admission and provided a copy to the cook.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The readings are within required ranges and when it is not, this was acted immediately by the maintenance person. Cooked meals are plated from the main kitchen to the dining area. The meals are well-presented and residents confirmed they are provided with alternative meals as per requested. All residents are weighed regularly and there is no evidence of significant weight change in the reviewed resident’s files. Residents with weight loss are provided with food supplements and fortified foods.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use safe food practices when preparing meals. A kitchen cleaning schedule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use standardised risk assessment tools on admission. The assessment information is the basis for developing the resident’s initial plan of care and the long term care plan. New residents are admitted using the interRAI assessment tool which is completed within the required time frame. The identified trends during the assessment are used as the focus of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Conducting pain assessment of residents on regular analgesia and controlled medications remains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in relation to behaviour assessment for the residents in the dementia unit is now fully addressed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resident-focused and personalised. There is evidence that continuity of service delivery is promoted.  Goals are specific and measurable. Interventions are documented to address the desired goals/outcomes identified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involved in the development of long term care plans as evident in the reviewed resident’s files. Staff are informed about changes in the care plans through the hand overs and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has a 24-hour management plan in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service delivery is maintained through the use of integrated resident’s records, appointment diary, communication book and shift hand overs.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development of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and short term care plans are developed by the RNs. Documented interventions in the long and short term care plans addressed the issues identified during the assessment process. The interventions are sufficiently detailed to address the desired goals/outcomes. The triggers identified in the interRAI assessments are addressed in the long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Interviewed residents reported that activities are physically and mentally stimulating. The diversional therapists (DTs) develops the activity plans using the resident’s profile gathered during the interview with the resident and their families. The weekly activities are posted in the corridors in different areas within the facility.  Activity plans are well-documented and reflected the resident’s preferred activities and interests. A 24- hour activity plan is in place in the dementia unit. A participation log was maintained. The DT referred the residents to the RNs when changes are noted regarding involvement in the activities. Interviewed residents and families said that the activities provided by the service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and short term care plans are developed either the registered nurses or by the enrolled nurses. Changes to the care plans are evident in the reviewed resident’s files when the desired outcomes are not met.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documenting the resident’s degree of achievement to the intervention, and progress towards the desired goals/outcomes. The previous area for improvement remains not addressed. Short term care plans do not have documented resolution of the acute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displayed. There have been no changes to the layout of the building since the last audit and the last trial evacuation that required changes to the approved evacuation scheme.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that is undertaken is appropriate to the size and complexity of the service as shown in the infection control programme. There is external benchmarking with other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There is monthly reporting of infections. The surveillance data is compared to previous months and previous year’s data. The data records that were there was an increase in the number of infections with actions implemented to reduce further occurrences.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records and infection control coordinator report that the service had an outbreak of an infection in May 2016. Appropriate standard precautions and transmission based precautions were implemented for this. The service is in the process of reviewing and analysing the data from this outcome for the May infection surveillance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10 residents using restraints and 2 residents using an enabler. The restraint register is current and updated.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 for improvement in 2.2.5.1 in relation to comprehensive review of restraint practice has been fully addressed and implemented. There is a 50% reduction of restraint use due to this review.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31"/>
        <w:gridCol w:w="1280"/>
        <w:gridCol w:w="6284"/>
        <w:gridCol w:w="2205"/>
        <w:gridCol w:w="20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folder sighted contained sections for complaints received by staff, residents, families/friends, members of the public and other health professionals. The folder contained completed complaint forms and the response letters from the manager. These complaints were not logged onto the complaints registers sighted. There was an additional complaint sighted from a family (1 January 2016) that was not sighted in the complaints register or folder. This complaint was sighted in electronic records. These issues were addressed at the time of audit, with the complaints registers now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did not contain all complaints; this was addressed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the complaints register contains all complaints.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receiving controlled medications and regular or “as required” analgesia has no pain assessments in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Pain assessments are not consistently conducted for residents on regular or “as required” analgesia and controlled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receiving controlled medications and regular or “as required analgesia” have pain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chosen for tracer methodology have no short term care plans in place when acute infections are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consistently developed when acute conditions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short term care plans are developed when acute conditions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Reviewed resident’s files have long term care plans in place but evaluations are not resident-focused and do not consistently evident the resident’s degree of achievement to the interventions, and/or progress towards meeting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do not have consistent evidence that indicate the resident’s degree of achievement or response to the interventions, and/or progress towards meeting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long and short term care plans have documented evidence of the resident’s degree of achievement to the interventions, and/or progress towards meeting the desired goals/outcomes.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 Waikato Care of the Aged Trust Board</w:t>
    </w:r>
    <w:bookmarkEnd w:id="58"/>
    <w:r>
      <w:rPr>
        <w:rFonts w:cs="Arial"/>
        <w:sz w:val="16"/>
        <w:szCs w:val="20"/>
      </w:rPr>
      <w:tab/>
      <w:t xml:space="preserve">Date of Audit: </w:t>
    </w:r>
    <w:bookmarkStart w:id="59" w:name="AuditStartDate1"/>
    <w:r>
      <w:rPr>
        <w:rFonts w:cs="Arial"/>
        <w:sz w:val="16"/>
        <w:szCs w:val="20"/>
      </w:rPr>
      <w:t>2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