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Aroha &amp; District Health Services Charitable Trust - Te Aroha &amp; District Community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Aroha &amp; District Health Services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Aroha &amp; District Community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May 2016</w:t>
      </w:r>
      <w:bookmarkEnd w:id="7"/>
      <w:r w:rsidRPr="009418D4">
        <w:rPr>
          <w:rFonts w:cs="Arial"/>
        </w:rPr>
        <w:tab/>
        <w:t xml:space="preserve">End date: </w:t>
      </w:r>
      <w:bookmarkStart w:id="8" w:name="AuditEndDate"/>
      <w:r w:rsidR="00A4268A">
        <w:rPr>
          <w:rFonts w:cs="Arial"/>
        </w:rPr>
        <w:t>6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39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Aroha and District Community Hospital is owned and operated by Te Aroha and Districts Health Services Charitable Trust. The service cares for up to 44 residents requiring hospital and rest home level care.  On the day of the audit, there were 39 residents.  </w:t>
      </w:r>
    </w:p>
    <w:p w:rsidRPr="00A4268A">
      <w:pPr>
        <w:spacing w:before="240" w:line="276" w:lineRule="auto"/>
        <w:rPr>
          <w:rFonts w:eastAsia="Calibri"/>
        </w:rPr>
      </w:pPr>
      <w:r w:rsidRPr="00A4268A">
        <w:rPr>
          <w:rFonts w:eastAsia="Calibri"/>
        </w:rPr>
        <w:t>The service is overseen by a facility manager (non -clinical), who is qualified and experienced for the role. A clinical nurse manager supports the facility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the following areas requiring improvement.  Cultural safety, informed consent, trending and analysis of quality data, corrective actions, health and safety, adverse event reporting, attendance at staff education, staff orientation, admission agreements, timeframes for InterRAI, care planning, interventions, care plan reviews, GP initial assessments, medication management, chemical safety, outstanding maintenance, access to call bells, restraint and linen storage.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Te Aroha and District Community Hospital is governed by a community trust and is managed by a facility manager and a clinical nurse manager/registered nurse.  A 2016 quality and risk management plan is in place.  This plan includes the vision, philosophy and values of the organisation.  Strategic goals and objectives are documented and are regularly reviewed by the facility manager and the trust board.  Quality activities are conducted, which generate improvements in practice and service delivery.  Residents meetings are held and residents and families are surveyed annually.  Health and safety policies, systems and processes are implemented to manage risk.  Incidents and accidents are reported and followed through.  An education and training programme has been implemented with a current plan in place.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clinical nurse manager/registered nurse. Comprehensive service information is available.  A registered nurse completes initial assessments, including InterRAI assessments.  The registered nurses complete care plans and evaluations. Care plans are clearly written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Meals are prepared on 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There is a maintenance programme. Hot water temperatures are monitored. An adequate number of toilets, showers and hand basins are provided. All communal toilets and showers have distinguishable identification. There are five rooms with ensuites in the Lawrence block and two rooms with ensuites in the hospital.  There is sufficient space to allow the movement of residents around the facility using mobility aids.  There are several lounge and dining areas throughout the rest home and hospital.  The internal areas are able to be ventilated and heated.  The outdoor areas are safe and easily accessible.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There were four residents with restraint and no residents with an enabler.  Restraint management processes are in place.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Infection-control management systems are in place to minimise the risk of infection to consumers, service providers and visitors.  The infection control programme is implemented and meets the needs of the organisation.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7"/>
        <w:gridCol w:w="1280"/>
        <w:gridCol w:w="101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Code of Health and Disability Services Consumers’ Rights (the Code) policy and procedure are being implemented.  Discussions with care staff (three rest home and two hospital healthcare assistants, five registered nurses, and two activities coordinators) confirmed their familiarity with the Code.  Interviews with seven residents (three rest home and four hospital) and ten relatives (four rest home and six hospital)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were not all signed correctly.  The six (of seven) resident files reviewed for the residents admitted for long term and palliative care demonstrated that advanced directives are signed for separately.  One of the seven files reviewed was for a respite palliative care resident.  There is evidence of discussion with family when the GP has completed a clinically indicated not for resuscitation order.  Health care assistants and registered nurses interviewed confirmed verbal consent is obtained when delivering care.  Family members are involved in decisions that affect their relative’s lives.  All seven resident files sampled had a signed admission agreement signed on or before the day of admission and consents (link 1.3.1.4).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Advocacy services are linked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and relatives confirmed this and that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All complaints have noted investigation, timelines, corrective actions when required and resolutions.  The complainant is asked to sign their name when they agree that their complaint has been resolved.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r w:rsidRPr="00BE00C7">
              <w:rPr>
                <w:rFonts w:cs="Arial"/>
                <w:b w:val="0"/>
                <w:lang w:eastAsia="en-NZ"/>
              </w:rPr>
              <w:t>Four complaints were lodged in 2015.  All four complaints were resolved.  One complaint has been lodged in 2016 with the Health and Disability Commissioner (HDC) and was received by the facility manager on 1 April.  This complaint, concerning a resident’s care, is currently under investigation.  The facility manager has submitted all required documentation to HDC within the required timeframe and is awaiting their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throughout the facility and leaflets are readily available.  The service is able to provide information in different languages and/or in large print.  Information is also given to next of kin/EPOA to read with the resident and discuss.  On entry to the service, the facility manager and staff discuss aspects of consumer rights with the resident and the family/whānau, confirmed in interviews with the facility manager, care staff, residents, and relatives (link 1.1.10.4).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personal privacy and dignity.  All staff are trained to respect residents’ rights.  Staff were observed respecting residents’ privacy and could describe how they manage maintaining privacy and respect of personal property.  All residents interviewed stated their needs were met.  Families interviewed confirmed that the residents are encouraged to be as independent as is safely possible.  The resident satisfaction survey confirmed that residents who responded to the survey are called by their preferred name.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All residents and relatives interviewed indicated that each resident’s spiritual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A policy on abuse/neglect is being implemented.  There were no reports of abuse and/or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cultural safety.  Staff interviewed confirmed their understanding of the importance of whānau in the delivery of care for their Māori residents.  One resident who identified as Māori was unable to be interviewed.  The care plan for this resident did not identify any Māori cultural values and/or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able to access Māori advisors, which includes staff who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 including the residents’ cultural beliefs and values, is used to develop a care plan that the resident and/or their family/whānau are asked to consult on (link 1.1.4.3).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Staff sign a ‘house rules’ document as part of the employment process.  The RNs supervise staff to ensure professional practice is maintained in the service.  All residents interviewed reported that the staff respected them.  Job descriptions include the role and responsibilities of each position, which includes professional boundaries.  The orientation and employment agreement provided to staff during their orientation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Staff are required to attend orientation and in-service training (link 1.2.7.4 and 1.2.7.5).  The resident satisfaction survey reflected high levels of satisfaction with the services provided.  Residents and relatives interviewed spoke positively about the care and support provided.  Staff interviewed had a sound understanding of the principles of aged care and stated that they feel supported by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initiatives have been implemented over the past year including (but not limited to) enhancing communication pathways between management and staff, refining emergency procedures and implementing new health and safety processes to meet new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 and procedures.  Accident/incidents, complaints procedures and the policy and process around open disclosure alert staff to their responsibility to notify family/next of kin of any accident/incident and ensure full and frank open disclosure occurs (link 1.2.4.3).  Ten incidents/accident forms were viewed.  The forms include a section to record family notification.  All ten forms indicated family were informed.  This is also documented in the family communication sheet that is held in the front of each resident’s file.  Families interviewed confirmed they were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community trust board governs Te Aroha and District Community Hospital.  The service provides rest home and hospital level care (geriatric and medical) for up to 44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and rest home service are delivered in separate buildings.  The rest home service is delivered in the Lawrence building and the hospital service is delivered in the Te Aroha building.   On the day of audit the rest home (Lawrence building) had 14 of 15 beds occupied. The hospital (Te Aroha building) had 29 beds of which 13 were dual purpose. There was one double room (occupied) and one 4 bedded room , all the rest were single.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39 residents on the days of audit including 13 hospital level residents and 22 rest home level residents under the Aged Residential Care (ARC) contract, one hospital level resident under the young persons with disability (YPD) contract. There were also two residents under the DHBs primary care inpatient services (PCIS) contract; and one resident under the residential respite service contract for short-term palliative hospital level care.  The service also holds a community day-programme contract, a long-term support of chronic conditions contract, and a transitional care services contract. </w:t>
            </w:r>
          </w:p>
          <w:p w:rsidR="00EB7645" w:rsidRPr="00BE00C7" w:rsidP="00BE00C7">
            <w:pPr>
              <w:pStyle w:val="OutcomeDescription"/>
              <w:spacing w:before="120" w:after="120"/>
              <w:rPr>
                <w:rFonts w:cs="Arial"/>
                <w:b w:val="0"/>
                <w:lang w:eastAsia="en-NZ"/>
              </w:rPr>
            </w:pPr>
            <w:r w:rsidRPr="00BE00C7">
              <w:rPr>
                <w:rFonts w:cs="Arial"/>
                <w:b w:val="0"/>
                <w:lang w:eastAsia="en-NZ"/>
              </w:rPr>
              <w:t>A 2016 quality and risk management plan is in place.  This plan includes the vision, philosophy and values of the organisation.  Strategic goals and objectives are documented and are regularly reviewed by the facility manager and the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has undertaken a minimum of eight hours of professional development relating to the management of an aged care service in the past 12 months.  The FM is supported by a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Roles and responsibilities are delegated to specific staff in the absence of the facility manager and in the absence of the clinical nurse manager.  These responsibilities are documented, accessible to staff, are specific, and include the responsible staff member’s name and contact details.  The facility manager and clinical nurse manager report that this has been an effective tool for delegating responsibilities to a variety of staff if one of them is absent.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2016 quality and risk management programme is in place. Interviews with management and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(every two years).  New policies or changes to policy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collected, however, this data has not been trended or analysed.  Internal audits are completed as per the internal audit schedule.  Areas of non-compliance include establishing a corrective action plan however, this is not occurring in a consistent manner.  The implementation of all corrective action plans was not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initiatives include a trained health and safety officer, and a health and safety committee that meets monthly.  Hazard reporting is in place and a hazard register is maintained.  Recent health and safety initiatives have included inducting all volunteers and external contractors to health and safety.  The health and safety officer reports directly to the board.  Two board members sit on the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an investigation of residents’ falls on a case-by-case basis to ensure that strategies to reduce falls have been implemented.  Other strategies include sensor mats, and half-hourly checks on residents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Improvement note: The service may wish to consider a review of the internal audit schedule to include an audit against the provider’s policies and procedures on the prevalence of pressure injuries and wound management.  This would ensure that the service identifies any shortfalls and opportunities for improvements in these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accidents and incidents reporting policy is being implemented. Incidents and accidents are not trended or analysed and corrective actions are not fully completed for adverse events (link 1.2.3.6 and 1.2.3.8).  Staff are informed regarding individual resident and staff adverse events during handovers and in staff meetings.  There is evidence to support actions are undertaken to minimise the number of incidents.  A registered nurse conducts clinical follow-up of residents.  Unwitnessed falls with a suspected injury to the head include appropriate neurology observations.  Not all incidents identified had a corresponding report form completed.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confirmed their awareness of the requirement to notify relevant authorities in relation to essential notifications.  A Section 31 report was completed appropriately for one adverse event.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Seven staff files (one clinical nurse manager, two registered nurses, three healthcare assistants and one health and safety/quality and risk advisor) were reviewed and evidenced that reference checks are completed before employment is offered.  The service has an orientation programme in place that provides new staff with relevant information for safe work practice.  The in-service education programme is being implemented.  Attendance at mandatory in-service training is frequently less than 50%.  Healthcare assistants are encouraged to complete an aged care education programme.  The nursing staff attend external training provided by the DHB.  Staff are appraised annually on their performance.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describes staff rationale and skill mix.  The facility manager and clinical nurse manager are full-time employees Monday-Friday.  A minimum of one registered nurse is on site at any one time.  This is in addition to the full-time clinical nurse manager (Monday – Friday).  Adequate numbers of healthcare assistants are rostered in the hospital and the rest home although a concern was raised during interviews with the RN staff, healthcare assistants and the facility manager around inadequate healthcare assistant staffing levels when orientating new staff.  The facility manager reports that this concern is currently being investigated.  Activities staff are available five days in the rest home and four days a week in the hospital.  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into the resident’s individual record within 24 hours of entry.  Resident files are protected from unauthorised access.  Other residents or members of the public cannot view sensitive resident information.  Entries in records are legible, dated and signed by the relevant carer with the exception of three care documents that were not signed or dated.  Residents’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The facility manager screens all potential residents prior to entry and records all admission enquires in a hard copy system.  Residents and relatives interviewed confirmed they received information prior to admission and had the opportunity to discuss the admission agreement with the manager.  The admission agreement form in use does not align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and included eight hospital (including one resident admitted under a young person with disability, and one resident admitted under palliative care respite), four rest home, and two primary care inpatient residents.   The medication management policies and procedures comply with medication legislation and guidelines.  Medicines are appropriately stored in accordance with relevant guidelines and legislation.  Medication administration practices did not comply with the medication management policy on the medication rounds observed.  Medication prescribed is signed as administered on the pharmacy generated signing chart.  Registered nurses and senior healthcare assistants administer medicines.  All staff that administer medicines are competent and have received medication management training.  The facility uses a robotically packed medication management system for the packaging of all tablets.  The registered nurse on duty reconciles the delivery and documents this. Not all medication charts reviewed aligned with prescribing requirements. There was evidence of three monthly medication reviews by the GP.  Not all medication charts have photo identification.  Allergies or nil known allergies were recorded.  Two residents self-administering their own medicines did not comply with the organisations requirements for residents who are self-medicating.  Standing orders are in use and comply with all contractual and legal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and all food is cooked on site. There is a food services manual in place to guide staff.  A resident nutritional profile is developed for each resident on admission and this is provided to the kitchen staff.  This document is reviewed at least six monthly as part of the care plan review.  The kitchen is able to meet the needs of residents who require special diets and the chef works closely with the registered nurses on duty.  The kitchen staff have completed food safety training.  The chef and cooks follow a rotating seasonal menu, which was reviewed in April 2016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InterRAI assessment tool is implemented and there are three RNs competent to use the tool.  InterRAI assessments have not been completed for all residents. Two of seven files sampled did not require a completed InterRAI assessment on the day of audit (one resident recently admitted and one resident admitted under the palliative care contract). Not all files sampled contained assessment tools that were fully completed and signed by a registered nurse (link 1.2.9.1).  Not all assessments were reviewed at least six monthly or when there was a change to a resident’s health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and needs and identified allied health involvement under a comprehensive range of template headings (link 1.3.4.2).   The InterRAI assessment and other assessments tools undertaken do not always inform the development of the resident’s care plan.  Residents and their family/whānau interviewed reported that they are involved in the care planning and review process.  Staff interviewed reported they found the long-term care plans easy to follow.  Short-term care plans are not always documented for a change in health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 care assistants follow the care plan and report progress against the care plan each shift at handover. If external nursing or allied health advice is required, the registered nurse will initiate a referral (eg, to the district nurse, or wound specialist nurse).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and medical supplies were sighted in the treatment rooms on the day of audit; however, the staff interviewed reported they did not always have access to sufficient dressings and syringes when they were required.  Sufficient continence products are available and resident files include a continence assessment (link 1.3.4.2).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seven wounds. In the hospital there were five wounds including one lesion, two surgical wounds and two skin tears. In the rest home there were two wounds including one chronic ulcer and one lesion.  There was one stage-two pressure injury (now resolved to stage one) in a rest home resident located in the    hospital.  Not all wound documentation was fully completed (link 1.3.5.2).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healthcare assistant demonstrated an understanding of the individualised needs of residents. Care plan interventions did not always demonstrate interventions to meet residents’ needs. Not all interventions in use were documented.  Staff could describe the care required for the resident admitted under the young person with disability contract and the palliative care contract.  There was evidence of pressure injury prevention interventions such as turning charts, food and fluid charts, regular monitoring of bowels and regular (monthly or more frequently if required) weight management.  The service has commenced a project around weight management for residents with initial results showing improved outcomes for residents with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programme is provided in both the rest home and hospital. The programme is developed by a diversional therapist in consultation with the designated activities coordinators in the rest home and hospital. The activities programme for the hospital and rest home were sighted. A number of volunteers support the programme. The activities programme is provided between Monday to Friday in the rest home and Monday to Thursday in the hospital.  Residents and family interviewed confirm participation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and care plans are comprehensively documented however not all residents had a social/activities assessment completed on admission. Individual activities care plans and goals are developed. A record of individual attendance at activities is documented. Residents in both areas were partaking in activities during the audit. Not all residents had the activities care plan reviewed against the identified activities goals or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plans were not all evaluated at least six monthly or earlier if there was a change in health status.  Not all changes in health status were documented and followed up (link 1.3.5.2).   Not all reassessments had been completed using InterRAI LTCF for all residents who had a significant change in health status since 1 July 2015 (link 1.3.4.2).  The registered nurse completing the care plan signs the care plan reviews. (Short-term care plans sighted were evaluated and resolved or added to the long-term care plan if the problem is ongoing, as sighted in resident files sampled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registered nurses initiate referrals to nurse specialists and allied health services.  Other specialist referrals are made by the GPs.  Referrals and options for care were discussed with the family, as evidenced in medical notes.  Staff provided examples of where a resident’s condition had changed and the resident was referred for a change in care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however, these were not all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in September 2016.  The Trust have made a significant investment in the past two years replacing carpet, redecorating Lawrence House, and purchasing new medical, kitchen and laundry equipment.  The receptionist arranges the reactive maintenance with support from the facility manager. Not all reactive maintenance had been completed on the day of audit.  There is an external contractor employed to undertake the scheduled maintenance.  All medical and electrical equipment was recently serviced and/or calibrated.  Hot water temperatures are monitored and managed within 43-45 degrees Celsius.  The facility has sufficient space for residents to mobilise using mobility aids.  External areas are maintained.  Residents have access to safely designed external areas that have shade.  Staff stated they had sufficient equipment to safely deliver the cares as outlined in the resident care plans with exception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ensuites and other residents share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has 23 single bedrooms (including one with an ensuite), one double room with an ensuite, and one four bedded room.  There is one large lounge/dining area that is large enough to cater for group and individual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Lawrence House (the rest home) is in a separate building and has all single rooms, of which three have an ensuite. There is a dining room and three other lounge areas. There is adequate space to allow for group and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laundry service is contracted out and only small personal items are laundered on site.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approved by the New Zealand Fire Service.  There are emergency management plans in place to ensure health, civil defence and other emergencies are included.  Six monthly fire evacuation practice documentation was sighted.  A contracted service checks all facility equipment including fire equipment.  Fire training and security situations are part of orientation of new staff (link 1.2.7.4).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not always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Aroha and District Community Hospital has an established infection control programme.  The infection control programme, its content and detail, is appropriate for the size, complexity and degree of risk associated with the service.  It is linked into the incident reporting system.  Not all infection control principles were being followed with the storage of the linen.  A registered nurse is the designated infection control coordinator with support from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There are adequate resources to implement the infection control programme for the size and complexity of the organisation.  The IC nurse and IC team (comprising all staff) has good external support from the GP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newly appointed infection-control coordinator has completed the on-line Ministry of Health infection-control module.  Visitors are advised of any outbreaks of infection and are advised not to attend until the outbreak has been resolved.  Information is provided to residents and visitors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Monthly infection data collected for all infections is based on signs and symptoms of infection. Surveillance of all infections is entered onto a monthly infection summary.  This data is monitored and evaluated monthly and annually (link 1.2.3.6).  The results are discussed at quality meetings.  Reports are easily accessible to the registered nurses.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four residents with restraint and no residents with an enabler.  Staff interviews and staff records evidence guidance has been given on restraint minimisation and safe practice (RMSP), enabler usage and prevention and/or de-escalation techniques.  Policies and procedures include the definitions of restraint and enabler that are congruent with the definition in NZS 8134.0.  Enablers are voluntary.  Staff education on RMSP/enablers has been provided.  Restraint is discussed as part of staff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is in place. The restraint coordinator role is delegated to a registered nurse.  All staff are required to attend restraint minimisation training annually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 assessment tool is in place, which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of residents using restraints were reviewed and reflected appropriate assessments and consents with links to their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four hospital-level residents using an approved restraint (wedge, lap belt, fallout chair).  Restraint assessments reviewed identified that restraints are being used only as a last resort.  As per the restraint minimisation policy, all restraints will be monitored a minimum of two-hourly.  Monitoring documentation forms completed by staff did not reflect two-hourly monitoring while restraint was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 monthly by the restraint coordinator.  Strategies are implemented to reduce restraint use.  At the time of the audit, four hospital-level residents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clinical nurse manager complete the restraint programme, including reviewing policies and procedures and staff education.  The staff training programme on restraint minimisation includes de-escalation and is reviewed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37"/>
        <w:gridCol w:w="1280"/>
        <w:gridCol w:w="3767"/>
        <w:gridCol w:w="3128"/>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discusses the general consent form with the resident and or their EPOA at the time the resident is admitted. The registered nurse then ticks that they have discussed the general consents with the resident and or EPOA.  The resident and or EPOA are not required to sign the general consent form to indicate they have or have not given consent.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seven consent forms had not been signed by the resident or EPOA to indicate they have or have not given consent.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resident and/or EPOA sign the consent form.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policy, the facility manager and/or RN will determine the cultural and/or spiritual needs of each Māori resident in consultation with the resident, family and significant others as part of the admission process.  This procedure was not documented for one resident who identifies as Māori.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Māori resident did not have Māori values and beliefs documented in the resident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cultural values and beliefs are identified for Māori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responsible for collecting adverse event data and implementation of the internal audit programme, as per the internal audit schedule.  Quality improvement data is collected around falls, skin tears, infections, and other adverse events, but there is little evidence to support that this data is being trended and analysed.  Staff are informed regarding the number and type of adverse events each month but are not informed around trends in data or what the data is reflecting.  Staff are informed of internal audit results, as evidenced in staff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not being trended and analysed.  Staff are not kept informed regarding trends in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quality data collected is trended and analysed, and that this information is shared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planning process is to be completed where internal audits reflect sub-optimal results. However, corrective action plans were not consistently being established when required.  Where corrective action plans are developed, there are gaps in the documentation around implementation and sign-off of these corrective action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action plans are not regularly being developed where opportunities for improvement are identified. ii) Where corrective action plans are documented, there is a lack of consistent evidence of these plans being implemented, with sign-off by the person(s) responsible.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 plans are established where opportunities for improvements are identified. ii) Ensure that established corrective action plans are implemented and are signed-off by the person(s) responsible.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accident and incident reports were reviewed.  Each adverse event was documented in detail, and included a full investigation by a registered nurse and was signed off by the clinical nurse manager and the facility manager.  A report form for a pressure injury was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resident with a stage-two pressure injury did not have an accident/incident form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pressure injuries are documented on an accident/incident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in-service training programme is being implemented for staff and attendance records are being maintained.  The frequency of mandatory training is dependent on the type of in-service and ranges from six months, one year, and two-yearly.  Compulsory training includes continence management, nutrition/dietary, manual handling, pressure area care, pain management, rights/advocacy, wound management, and hoist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attendance at eight mandatory in-services in 2015-2016 was less than 50%.  The facility manager and clinical nurse manager are aware of this shortfall and they are implementing strategies to address 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attend mandatory in-service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reviewing seven clinical records, it was noted that one continence assessment and two long-term care plans were not signed or dated, and not all wound care plans had been signed. All progress notes include the date and time of entry, and the signature and designation of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continence assessment and two long-term care plans were not signed or dated.  ii) Six of seven wound care plans had not been signed by the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assessments wound care plans and long-term care plans are signed and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confirmed on interview that they had received all relevant information on admission.  The information pack contains information on the service, resident’s rights and advocacy brochure.  Exclusions from the service are included in the admission agreement. The admission agreement in use does not comply with the requirements of the ARRC.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amendments made in 2015 to clause D13.3 of the ARRC contract, regarding refund timeframes are not included in the admission agreement currently in use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current admission agreement aligns fully to the ARRC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 the hospital and senior healthcare assistants in the rest home are responsible for the safe administration of medication.  On the two medication rounds observed in the hospital the registered nurses did not follow the correct medication administration process.  Ten of fourteen resident medication records had photo identification.  All medication charts reviewed had allergies or nil known allergies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Staff were observed administering medications without prior reference to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Four of 14 medication charts (rest home) did not have photo identification on the medication profile.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staff who administer medication follow acceptable medication administration practices, guidelines and legislative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medication charts evidence resident photo identification.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medication are required to complete a competency assessment every three months. The two residents self-medicating had not completed the required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rest home resident’s self-administering inhalers had not had the required competency assessment completed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self-administering medication complete the required competency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prescribes all medication to be administered.  Five of fourteen medications evidenced that indications for use were recorded for ‘as required’ medication.  One medication did not have the route or dose time charted and this was corrected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14 medication charts reviewed did not have the route or dose time charted for a controlled drug. This was corrected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Nine of fourteen medication charts reviewed did not have indications for use charted for all ‘as required’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medication is prescribed according to all contractual and legal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‘as required’ medication has indications for use charted.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complete initial assessments and care plans within 24 hours of admission. Long-term care plans were completed within 21 days of admission. InterRAI assessments have been reviewed six monthly for two of seven residents. Two residents do not require the InterRAI assessment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(one rest home, two hospital - including one young person with disability) had not had their InterRAI assessments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aspects of assessments and care plans are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stated that the registered nurses are responsible for completing the initial assessments (including InterRAI) and any other assessments required for a change in health condition.  Not all resident files sampled had evidence that the required assessments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admitted in August 2015 did not have an InterRAI assessment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resident had not had their InterRAI assessment reviewed with a change in health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rest home and one hospital residents with pain (as noted in the progress notes and medical notes) did not have pain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One hospital resident did not have any risk assessments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v)  Three residents (two hospital - including the hospital tracer, and one rest home) did not have the medical admission assessment fully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Four resident files sampled (two rest home and two hospital) had incomplete continence assessment forms. </w:t>
            </w:r>
          </w:p>
          <w:p w:rsidR="00EB7645" w:rsidRPr="00BE00C7" w:rsidP="00BE00C7">
            <w:pPr>
              <w:pStyle w:val="OutcomeDescription"/>
              <w:spacing w:before="120" w:after="120"/>
              <w:rPr>
                <w:rFonts w:cs="Arial"/>
                <w:b w:val="0"/>
                <w:lang w:eastAsia="en-NZ"/>
              </w:rPr>
            </w:pPr>
            <w:r w:rsidRPr="00BE00C7">
              <w:rPr>
                <w:rFonts w:cs="Arial"/>
                <w:b w:val="0"/>
                <w:lang w:eastAsia="en-NZ"/>
              </w:rPr>
              <w:t>vii) One rest home resident did not have the pressure injury risk reassessed following the development of a stage 2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use of the InterRAI tool complies with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pain assessments are completed for all residents reporting pain.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all required risk assessments are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v)  Ensure that the medical admission assessments are fully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Ensure that all sections of additional risk assessment forms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Ensure that residents are reassessed with a change in heath condition.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responsible for completing all necessary assessments and then using this information to document the care plan.  In the files reviewed one resident had the long-term care plan documented before the assessments had been completed. The long-term care plan was not always updated following a change in care level and a care plan was not always documented for any acute changes in health condition.  Wound assessment, monitoring and wound management plans are in place, however wound care documentation was not all fully completed.  Nurses undertake a risk assessment for all residents however, interventions were not documented for all assessed care needs, and not all interventions in use had been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had their care plan completed before all the risk assessments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rest home resident long-term care plan had not been amended following a change in assessed care level. </w:t>
            </w:r>
          </w:p>
          <w:p w:rsidR="00EB7645" w:rsidRPr="00BE00C7" w:rsidP="00BE00C7">
            <w:pPr>
              <w:pStyle w:val="OutcomeDescription"/>
              <w:spacing w:before="120" w:after="120"/>
              <w:rPr>
                <w:rFonts w:cs="Arial"/>
                <w:b w:val="0"/>
                <w:lang w:eastAsia="en-NZ"/>
              </w:rPr>
            </w:pPr>
            <w:r w:rsidRPr="00BE00C7">
              <w:rPr>
                <w:rFonts w:cs="Arial"/>
                <w:b w:val="0"/>
                <w:lang w:eastAsia="en-NZ"/>
              </w:rPr>
              <w:t>iii)  Short-term care plans were not documented for one rest home resident with a urinary tract and a chest infection, and one hospital resident with a skin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Wound care documentation was not fully completed for the current wounds:  a) five of seven initial wound assessments did not fully describe the wound; b) five of seven wound care plans did not document the progress of wound healing with each dressing change; c) four of seven wounds did not have a documented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Interventions had not been fully documented in the long-term care plan for; </w:t>
            </w:r>
          </w:p>
          <w:p w:rsidR="00EB7645" w:rsidRPr="00BE00C7" w:rsidP="00BE00C7">
            <w:pPr>
              <w:pStyle w:val="OutcomeDescription"/>
              <w:spacing w:before="120" w:after="120"/>
              <w:rPr>
                <w:rFonts w:cs="Arial"/>
                <w:b w:val="0"/>
                <w:lang w:eastAsia="en-NZ"/>
              </w:rPr>
            </w:pPr>
            <w:r w:rsidRPr="00BE00C7">
              <w:rPr>
                <w:rFonts w:cs="Arial"/>
                <w:b w:val="0"/>
                <w:lang w:eastAsia="en-NZ"/>
              </w:rPr>
              <w:t>a) One rest home resident identified as a frequent faller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One hospital resident, with severe depression and identified as a high risk of malnutrition </w:t>
            </w:r>
          </w:p>
          <w:p w:rsidR="00EB7645" w:rsidRPr="00BE00C7" w:rsidP="00BE00C7">
            <w:pPr>
              <w:pStyle w:val="OutcomeDescription"/>
              <w:spacing w:before="120" w:after="120"/>
              <w:rPr>
                <w:rFonts w:cs="Arial"/>
                <w:b w:val="0"/>
                <w:lang w:eastAsia="en-NZ"/>
              </w:rPr>
            </w:pPr>
            <w:r w:rsidRPr="00BE00C7">
              <w:rPr>
                <w:rFonts w:cs="Arial"/>
                <w:b w:val="0"/>
                <w:lang w:eastAsia="en-NZ"/>
              </w:rPr>
              <w:t>c) One hospital resident with a PEG feed and a urinary catheter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 One rest home resident with visual impairment, a urinary catheter, and type II diabetes with unstable blood sugars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 One palliative care resident with anxiety, a previous history of gastro intestinal bleeding, and had no end of life care plan documented </w:t>
            </w:r>
          </w:p>
          <w:p w:rsidR="00EB7645" w:rsidRPr="00BE00C7" w:rsidP="00BE00C7">
            <w:pPr>
              <w:pStyle w:val="OutcomeDescription"/>
              <w:spacing w:before="120" w:after="120"/>
              <w:rPr>
                <w:rFonts w:cs="Arial"/>
                <w:b w:val="0"/>
                <w:lang w:eastAsia="en-NZ"/>
              </w:rPr>
            </w:pPr>
            <w:r w:rsidRPr="00BE00C7">
              <w:rPr>
                <w:rFonts w:cs="Arial"/>
                <w:b w:val="0"/>
                <w:lang w:eastAsia="en-NZ"/>
              </w:rPr>
              <w:t>f)  One rest home resident with a moderate risk of PI had no interventions documented in the long-term care plan to manage this risk</w:t>
            </w:r>
          </w:p>
          <w:p w:rsidR="00EB7645" w:rsidRPr="00BE00C7" w:rsidP="00BE00C7">
            <w:pPr>
              <w:pStyle w:val="OutcomeDescription"/>
              <w:spacing w:before="120" w:after="120"/>
              <w:rPr>
                <w:rFonts w:cs="Arial"/>
                <w:b w:val="0"/>
                <w:lang w:eastAsia="en-NZ"/>
              </w:rPr>
            </w:pPr>
            <w:r w:rsidRPr="00BE00C7">
              <w:rPr>
                <w:rFonts w:cs="Arial"/>
                <w:b w:val="0"/>
                <w:lang w:eastAsia="en-NZ"/>
              </w:rPr>
              <w:t>g) Two residents with nutrition supplements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assessment process is used to provide information to inform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long-term care plan is reviewed following a change in care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care plans are documented for all acute changes in health condition </w:t>
            </w:r>
          </w:p>
          <w:p w:rsidR="00EB7645" w:rsidRPr="00BE00C7" w:rsidP="00BE00C7">
            <w:pPr>
              <w:pStyle w:val="OutcomeDescription"/>
              <w:spacing w:before="120" w:after="120"/>
              <w:rPr>
                <w:rFonts w:cs="Arial"/>
                <w:b w:val="0"/>
                <w:lang w:eastAsia="en-NZ"/>
              </w:rPr>
            </w:pPr>
            <w:r w:rsidRPr="00BE00C7">
              <w:rPr>
                <w:rFonts w:cs="Arial"/>
                <w:b w:val="0"/>
                <w:lang w:eastAsia="en-NZ"/>
              </w:rPr>
              <w:t>iv) Ensure that all wound documentation is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v) Ensure that interventions are fully documented for all assessed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 ordering system in place for dressing and medical supplies.  The registered nurses interviewed stated that they did not always have sufficient medical supplies for dressings or PEG feeding.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report that they do not consistently have sufficient clinical supplies including wound dressing supplies, or the correct syringes required for the resident on a PEG feed.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adequate medical and dressing supplies to meet the assessed care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completes the activities assessments and activities care plans in consultation with the resident or their family. Not all residents had an activities assessment or care plan completed on admission. The activities care plan is reviewed at least six monthly at the time the long-term care plan is reviewed.  Not all activities care plans had been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did not have an activities assessment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ii) Four of the five residents (two hospital, one YPD, one rest home) who were due for a six monthly activities care plan review had not had the activities care plan reviewed against the identified goals or a review completed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residents have an activities assessment and activities care plan completed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activities care plan is evaluated against the resident goals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advised that they undertake a review of the long-term care plan at least six monthly; however, this was not always evidenced on the files reviewed. There was evidence in the medical notes that the GP assesses the resident with an acute change in health condition.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five (two rest home and one hospital) long-term care plans due for review not been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long-term care plans are reviewed at least six monthly or when there is a change in health condition.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required to be stored safety however, it was noted during a tour of the facility that not all chemicals were kept in locked cupboards or in locked rooms.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Chemicals were found in unlocked cupboards under benches and on shelves in the hair salon, in resident toilets, in the flower room and in the ward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dressing trolley being stored in an area the residents could access, had wound cleaning solutions (including betadine) left on the bottom shelf of the trolley.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chemicals are stored securely.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record reactive maintenance requests to be completed.  Not all required maintenance had been completed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around reactive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In the hospital:  a) the shower walls and ceilings have numerous areas where the paint is flaking, or chipped.  b)  One hospital shower has mould growing on the ceiling and has a crack in the lino-join in the corner of the shower.   c) There are holes in the shower and toilet walls.  d) There are swollen and exposed timber surfaces around the hand basins.  e) The under-bench cupboards in the flower room and sluice room, have swollen timbers and cracked paint.  f) There is rust showing through on a number of radiator heaters.  g) The paint is chipped off on a number of door frames and bedroom doors exposing bare timber.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 the main kitchen:  a) The paint has rubbed off on the wall behind the food preparation sink exposing bare timber.  b) The under bench cupboard doors have cracked and chipped paint.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In Lawrence House:  a) There is swollen and exposed timber surfaces around the hand basins.  b) There are bare boards in the sluice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all outstanding maintenance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call bell available for use. Residents were not always left with access to their call bells when staff were not in attendance.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two separate occasions during the audit, six residents who could not mobilise were sitting in chairs in the hospital lounge/dining area with no staff in attendance and no ability to summon assistance or with access to call bells.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always have access to their call bell or a method to summon assistance.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in the organisation leading to the governing body and/or senior management.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infection control polices to guide safe practice however, not all the principles were being applied and linen was being stored incorrectly.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Towels and flannels were stored in a number of the communal bathrooms in the hospital and Lawrence block.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linen is stored correctly.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assessment for the use of restraint is covered in the restraint assessment and includes the frequency of monitoring residents while restraint is in use.  As per policy, all restraint monitoring will be conducted two-hourly unless stated otherwise.  Restraint monitoring forms that were being completed for the two residents did not reflect two hourly monitoring. The restraint coordinator reports that monitoring is taking place two-hourly or more frequently, but is not being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Two-hourly monitoring of restraint use was not reflected on the restraint monitoring forms for the two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forms reflect documented evidence of restraint use being monitored.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Aroha &amp; District Health Services Charitable Trust - Te Aroha &amp; District Community Hospital</w:t>
    </w:r>
    <w:bookmarkEnd w:id="58"/>
    <w:r>
      <w:rPr>
        <w:rFonts w:cs="Arial"/>
        <w:sz w:val="16"/>
        <w:szCs w:val="20"/>
      </w:rPr>
      <w:tab/>
      <w:t xml:space="preserve">Date of Audit: </w:t>
    </w:r>
    <w:bookmarkStart w:id="59" w:name="AuditStartDate1"/>
    <w:r>
      <w:rPr>
        <w:rFonts w:cs="Arial"/>
        <w:sz w:val="16"/>
        <w:szCs w:val="20"/>
      </w:rPr>
      <w:t>5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