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Peppertree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Peppertree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May 2016</w:t>
      </w:r>
      <w:bookmarkEnd w:id="7"/>
      <w:r w:rsidRPr="009418D4">
        <w:rPr>
          <w:rFonts w:cs="Arial"/>
        </w:rPr>
        <w:tab/>
        <w:t xml:space="preserve">End date: </w:t>
      </w:r>
      <w:bookmarkStart w:id="8" w:name="AuditEndDate"/>
      <w:r w:rsidR="00A4268A">
        <w:rPr>
          <w:rFonts w:cs="Arial"/>
        </w:rPr>
        <w:t>25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Peppertree is part of the Radius Residential Care Group. The service provides hospital and rest home level of care for up to 62 residents.  On the day of the audit, there were 60 residents.  The facility manager has been in the role for three years and is supported by a clinical nurse manager, with experience in aged care.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five of five shortfalls from their previous certification around admission InterRAI assessments, care plans, documented interventions, short-term care plans, and medication administration. </w:t>
      </w:r>
    </w:p>
    <w:p w:rsidRPr="00A4268A">
      <w:pPr>
        <w:spacing w:before="240" w:line="276" w:lineRule="auto"/>
        <w:rPr>
          <w:rFonts w:eastAsia="Calibri"/>
        </w:rPr>
      </w:pPr>
      <w:r w:rsidRPr="00A4268A">
        <w:rPr>
          <w:rFonts w:eastAsia="Calibri"/>
        </w:rPr>
        <w:t xml:space="preserve">There were no areas of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interviewed state they are kept informed on all health related matters. Information on the complaints process is made available to residents/family at the time of admission and is displayed in the entranceway.  All concerns and complaints have been managed appropriately.  The complaints register is up-to-date.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Radius Peppertree is part of the Radius group with organisational-wide processes in place to monitor performance.  Suitably trained personnel manage the service.  There is an implemented quality risk system in place.  Quality/infection control/health and safety meetings are used to monitor quality activities such as internal audits, complaints/concerns, health and safety, accidents/incidents, infection control and restraint.  There is a human resource manual to guide practice.  There is an annual education programme, which covers mandatory requirements.  Staffing rosters were sighted and residents, families and staff confirm there are adequate staff on duty.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Initial assessments, InterRAI assessments and care plans were developed within the required timeframes.  The sample of residents' records reviewed provided evidence that the provider has systems in place to assess, plan and evaluate care needs of the residents.  The residents' needs, interventions, outcomes/goals have been identified and these are reviewed with the resident and/or family/whānau input.  Care plans are evaluated six monthly.  The general practitioner reviews the residents at least three monthly. </w:t>
      </w:r>
    </w:p>
    <w:p w:rsidRPr="00A4268A" w:rsidP="00621629">
      <w:pPr>
        <w:spacing w:before="240" w:line="276" w:lineRule="auto"/>
        <w:rPr>
          <w:rFonts w:eastAsia="Calibri"/>
        </w:rPr>
      </w:pPr>
      <w:r w:rsidRPr="00A4268A">
        <w:rPr>
          <w:rFonts w:eastAsia="Calibri"/>
        </w:rPr>
        <w:t xml:space="preserve">Medicines are managed, and policies reflect legislative requirements.  Staff responsible for the administration of medicines complete education and medicines competencies.    </w:t>
      </w:r>
    </w:p>
    <w:p w:rsidRPr="00A4268A" w:rsidP="00621629">
      <w:pPr>
        <w:spacing w:before="240" w:line="276" w:lineRule="auto"/>
        <w:rPr>
          <w:rFonts w:eastAsia="Calibri"/>
        </w:rPr>
      </w:pPr>
      <w:r w:rsidRPr="00A4268A">
        <w:rPr>
          <w:rFonts w:eastAsia="Calibri"/>
        </w:rPr>
        <w:t>The activities programme provides varied options and activities that meet the abilities of each resident group.  Activity plans are individualised.  Community activities are encouraged and van outings arranged.</w:t>
      </w:r>
    </w:p>
    <w:p w:rsidRPr="00A4268A" w:rsidP="00621629">
      <w:pPr>
        <w:spacing w:before="240" w:line="276" w:lineRule="auto"/>
        <w:rPr>
          <w:rFonts w:eastAsia="Calibri"/>
        </w:rPr>
      </w:pPr>
      <w:r w:rsidRPr="00A4268A">
        <w:rPr>
          <w:rFonts w:eastAsia="Calibri"/>
        </w:rPr>
        <w:t>All food is cooked on site by the qualified cook.  A dietitian has reviewed the menu.  All residents' nutritional needs are identified, documented and choices provided.  Food and fridge temperatures are recorded.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policies and procedures to appropriately guide staff around consent processes and the use of enablers.  There are currently two residents using enablers and six residents using restraint.  Residents with enablers have voluntarily signed consents.  Staff receive training in restraint and managing challenging behaviour as part of the annual training plan.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infection control policy includes surveillance activities.  Infections are reported and collated monthly.  Infections and internal audit outcomes are discussed as part of the quality/infection control/health and safety meetings.  Information is available to staff.  The surveillance programme is appropriate to the size and complexity of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5"/>
        <w:gridCol w:w="1280"/>
        <w:gridCol w:w="102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practice, which aligns with Right 10 of the Code.  The facility manager leads the investigation of non-clinical and clinical concerns/complaints in consultation with the regional manager (registered nurse).  All concerns and complaints are entered into an on-line complaints register.  There has been one written complaint in 2015 and one verbal concern to date for 2016.  Appropriate action has been taken within the required timeframes and to the satisfaction of the complainants.  One HDC complaint (dated 2013) has now been closed-out.  </w:t>
            </w:r>
          </w:p>
          <w:p w:rsidR="00EB7645" w:rsidRPr="00BE00C7" w:rsidP="00BE00C7">
            <w:pPr>
              <w:pStyle w:val="OutcomeDescription"/>
              <w:spacing w:before="120" w:after="120"/>
              <w:rPr>
                <w:rFonts w:cs="Arial"/>
                <w:b w:val="0"/>
                <w:lang w:eastAsia="en-NZ"/>
              </w:rPr>
            </w:pPr>
            <w:r w:rsidRPr="00BE00C7">
              <w:rPr>
                <w:rFonts w:cs="Arial"/>
                <w:b w:val="0"/>
                <w:lang w:eastAsia="en-NZ"/>
              </w:rPr>
              <w:t>Complaints forms are visible in the main entrance.  Management operate an ‘open door’ policy.  Families and residents (two hospital including one person under 65 years of age and five rest home residents) confirm they are aware of the complaints process and that management are approachable.  The complaints procedure is provided to residents in the information pack on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Accident/incident forms have a section to indicate if family have been informed of an accident/incident and forms reviewed identify that family have been notified following resident incidents.  The clinical manager and facility manager advised that family are kept informed and this was confirmed on interview with three hospital residents’ family members.  Two monthly resident meetings are held.  Resident meetings provide residents with an opportunity to feedback on the services provided and ensure they are kept informed on facility matters.  Residents and relatives receive a facility newsletter every two months and an organisational newsletter ‘The Orbiter’ three monthly.  There is access to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Peppertree provides rest home and hospital level of care for up to 62 residents.  There are 20 rest home beds, 20 dual-service beds (located within the rest home wing) and 22 hospital level beds.  On the day of audit, there were 23 rest home level and 37 hospital level residents, including 15 hospital residents in dual-purpose beds.  There were one rest home and three hospital younger person residents under 65 years of age (YPD).  All other residents were under the ARCC.  There were no residents under the medical component or on respite care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organisational philosophy, which includes a vision and mission statement.  There is a strategic business plan for 2014 – 2017 that has had an annual review.  Ongoing goals are reviewed regularly.  Quality goals achieved over the last year included: 1) Increased attendance at training, due to the implementation of training days and a roster to ensure all staff attend mandatory education.  2) The use of the Radius ‘Raise Up communication programme’ that focuses on communication and improving English for those with English as a second language.  3) Review of the recreational programme.  4) Resident mobility-status, in pictorials in all bedrooms.  5) Patient boards in both rest home and hospital nurses stations for quick reference of resident status/supports.  6) The installation of a new call-bell system with connection to sensor mats, and the purchase of new air-alternating mattresses.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(previously an enrolled nurse) has been in the role three years and has experience in aged care management.  A clinical manager (registered nurse) appointed in September 2014 supports her.  The clinical manager has had clinical experience within the district health board and the aged care environment.  A regional manager visits two-three times weekly and as required supports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of professional development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Peppertree has implemented a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including those standards relating to the Health and Disability Services (Safety) Act 2001.  The operations management team at head office regularly develop and review policies. </w:t>
            </w:r>
          </w:p>
          <w:p w:rsidR="00EB7645" w:rsidRPr="00BE00C7" w:rsidP="00BE00C7">
            <w:pPr>
              <w:pStyle w:val="OutcomeDescription"/>
              <w:spacing w:before="120" w:after="120"/>
              <w:rPr>
                <w:rFonts w:cs="Arial"/>
                <w:b w:val="0"/>
                <w:lang w:eastAsia="en-NZ"/>
              </w:rPr>
            </w:pPr>
            <w:r w:rsidRPr="00BE00C7">
              <w:rPr>
                <w:rFonts w:cs="Arial"/>
                <w:b w:val="0"/>
                <w:lang w:eastAsia="en-NZ"/>
              </w:rPr>
              <w:t>The content of policy and procedures are detailed to allow effective implementation by staff.  Staff interviewed (one RN and four healthcare assistants – HCAs) confirm they are made aware of new/reviewed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combined quality/infection control and health and safety meetings where monthly quality data is discussed including infections, accidents and incidents, health and safety, restraints and enablers, concerns and complaints and audit outcomes.  Other facility meetings include RN meetings, night shift meetings, full staff meeting and food service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includes clinical and non-clinical audits.  For audits with outcomes below 95%, a corrective action plan is raised and discussed at the facility meetings.  The facility manager, where required, has signed off corrective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satisfaction surveys are completed annually in July.  Through resident meetings, results were collated and fed back to participants.  A separate activities survey was completed in February 2016 with 80% satisfaction with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Benchmarking of quality indicators occurs within the Radius organisation.  The Radius Peppertree facility receives feedback on its performance through the Radius on-line quality system and this is communicated to staff through meetings and a display of quality data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facility manager oversees health and safety. Two health and safety representatives have attended health and safety training.  The committee is representative of all service areas and actively involved in the review of the hazard register and accident/incidents.  The service has achieved tertiary level of the ACC workplace safety-management practices in September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Falls risk assessments are completed.  Interventions include sensor mats, intentional rounding, physiotherapist assessments and post-falls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accident/incident forms for the month of March 2016 were reviewed.  There has been RN notification and clinical assessment completed in a timely manner.  Accidents/incidents were recorded in the resident progress notes.  There is documented evidence family/whānau had been notified.</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Trending data is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regional manager and facility manager confirm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reviewed (facility manager, three RNs and two HCAs) contained all relevant employment documentation and completed orientations with relevant information for safe work practice.  Current practising certificates were sighted for the clinical manager, RNs and allied health professionals.  Staff interviewed believed new staff were adequately orientated to the service on employment.  Performance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2015 annual education planner covered all the compulsory training requirements.  The 2016 education sessions have commenced.  Four half study-days are scheduled throughout the year that cover all the mandatory requirements.  Two sessions of each study day is held and staff are allocated to attend one of the sessions.  An additional ‘catch up’ study day is provided for night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some senior HCAs and the DTs have a current first aid certificate.  Registered nurses are supported to attend external education.  Care staff are supported to achieve the aged care qualifications through weekly tutorials delivered by an external aged care assessor.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complete competencies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There are two RNs (one in the rest home and one in the hospital) on morning and afternoon shifts and one RN on night duty to cover both areas, with three HCAs.  The facility manager and clinical manager are on-site Monday to Friday with shared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managed appropriately in line with required guidelines and legislation.  Registered nurses and senior HCAs (for rest home residents only), administer medications and have completed annual education and competencies.  Registered nurses have completed syringe driver competencies.  All medications are checked against the medication chart on delivery and any discrepancies fed back to the supplying pharmacy.  All medications were within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Standing orders are not used.  Medication fridge temperatures are checked daily and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and prescribing met the legislative requirements.  The GP has reviewed the medication charts at least three monthly.  Corresponding signing sheets were reviewed and evidenced medications were administered as prescribed.  The previous finding around medication administration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cook, kitchenhand and tea cook on duty each day.  All baking and meals are prepared and cooked on site.  There is an organisational four-week menu, which has been reviewed by a dietitian.  Meals are served from a bain-marie to the rest home dining room and they are delivered in hot boxes to the hospital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dietary notification for new residents and is notified of any changes, including weight loss.  Resident’s likes and dislikes are known and alternatives are offered.  Each meal has daily end-cooked temperatures taken and recorded.  All foods are dated labelled in fridges, freezers and chiller.  There is daily fridge and freezer monitoring.  The service has purchased a new freezer, double door chiller and bain-marie.  Staff are observed wearing appropriate protective wear.  Chemicals are stored safely when the kitchen is unattended.  There is an opportunity for residents to feedback on the food service at resident meetings and through satisfaction surveys.  All food services staff have attended food safety and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in the five files reviewed were up-to-date and described the resident’s current health status, supports and needs to meet the resident’s desired goals.  The outcomes of assessments are reflected in the care plans.  The previous finding around care plans has been addressed.  Short-term care plans are used for short-term needs and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a GP consultation or referral to the appropriate health professional.  Residents and relatives interviewed, state the residents’ needs are being met.  Significant events and communication with families are well documented on the communication with family form.  Appropriate interventions had been implemented and documented for changes in health.  The previous finding around interventions to meet the resident’s needs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and continence products were sighted.  Each wound had a wound assessment and care plan with ongoing evaluations and dressing changes at the documented frequency.  The previous finding around wound assessments has been addressed.  There were six hospital level residents with wounds, and ten rest home residents with wounds, including two chronic ulcers. There were no pressure injuries on the day of audit. The GP and wound nurse specialist had been involved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continence advice is available as needed and the clinical nurse manager could describe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recreation officer is a qualified diversional therapist who has been in the role for two years.  The rest home/hospital activity programme is being implemented Monday to Friday from 9am to 4pm.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is designed to meet the recreational preferences and abilities of the residents.  Activities include one-on-one time, group activities, community outings and entertainment.  There are volunteers that assist with the programme.  Residents are encouraged to maintain community links such as friendship club.  There are weekly church services on-site.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completed for residents on admission.  The activity plan is incorporated into the individualised care plan.  The activity plans are reviewed at the same time as the care plans, with resident/family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programme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reviewed all initial care plans within three weeks of admission and long-term care plans developed.  The long-term care plans were evaluated at least six monthly or if there is a change in health status in two of five resident files reviewed.  One rest home resident and two hospital residents had not been at the service six months.  There is a three monthly review by the GP. The residents and relatives interviewed confirm they are involved in the review of care plans.  Relatives interviewed confirm they are invited to participate in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evaluated at regular intervals with ongoing problems transferred to the long-term care plan.  The previous finding around evaluations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that expires on 5 April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(clinical nurse manager) collates information obtained through surveillance to determine infection control activities and education needs in the facility.  Definitions of infections are appropriate to the complexity of service provided.  Trends are identified and quality initiatives put in place.  Infection control data is collated monthly and reported at the quality/health and safety/infection control meetings.  Healthcare assistants interviewed confirm infection control and surveillance data is discussed at staff meetings and information was sighted in the staff room.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restraint procedures.  The policy identifies that restraint is used as a last resort.  There were three residents with enablers (bedrails) in use.  The resident has voluntarily signed enabler consent.  Enablers were linked to the care plans.  The clinical nurse manager is the restraint coordinator.  Annual training on restraint is provided.  The restraint approval committee meet monthly and review the use of restraints.  There were three residents with restraints (two bedrails and three lap belts).  Risks have been identified with the use of restraint and restraint monitoring in place.  Restraint/enablers are discussed at the clinical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Peppertree Care Centre</w:t>
    </w:r>
    <w:bookmarkEnd w:id="58"/>
    <w:r>
      <w:rPr>
        <w:rFonts w:cs="Arial"/>
        <w:sz w:val="16"/>
        <w:szCs w:val="20"/>
      </w:rPr>
      <w:tab/>
      <w:t xml:space="preserve">Date of Audit: </w:t>
    </w:r>
    <w:bookmarkStart w:id="59" w:name="AuditStartDate1"/>
    <w:r>
      <w:rPr>
        <w:rFonts w:cs="Arial"/>
        <w:sz w:val="16"/>
        <w:szCs w:val="20"/>
      </w:rPr>
      <w:t>24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