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Eldon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Eldon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May 2016</w:t>
      </w:r>
      <w:bookmarkEnd w:id="7"/>
      <w:r w:rsidRPr="009418D4">
        <w:rPr>
          <w:rFonts w:cs="Arial"/>
        </w:rPr>
        <w:tab/>
        <w:t xml:space="preserve">End date: </w:t>
      </w:r>
      <w:bookmarkStart w:id="8" w:name="AuditEndDate"/>
      <w:r w:rsidR="00A4268A">
        <w:rPr>
          <w:rFonts w:cs="Arial"/>
        </w:rPr>
        <w:t>27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surveillance audit was undertaken to monitor compliance with the Health and Disability Service Standards and the district health board contract. Eldon Rest Home is operated by the Oceania Care Company limited.</w:t>
      </w:r>
    </w:p>
    <w:p w:rsidRPr="00A4268A">
      <w:pPr>
        <w:spacing w:before="240" w:line="276" w:lineRule="auto"/>
        <w:rPr>
          <w:rFonts w:eastAsia="Calibri"/>
        </w:rPr>
      </w:pPr>
      <w:r w:rsidRPr="00A4268A">
        <w:rPr>
          <w:rFonts w:eastAsia="Calibri"/>
        </w:rPr>
        <w:t>The service provides care for rest home, hospital and dementia level of care. Occupancy on the days of audit was 116 residents. The audit process included review of policies and procedures, sampling of resident and staff files, observations and interviews.</w:t>
      </w:r>
    </w:p>
    <w:p w:rsidRPr="00A4268A">
      <w:pPr>
        <w:spacing w:before="240" w:line="276" w:lineRule="auto"/>
        <w:rPr>
          <w:rFonts w:eastAsia="Calibri"/>
        </w:rPr>
      </w:pPr>
      <w:r w:rsidRPr="00A4268A">
        <w:rPr>
          <w:rFonts w:eastAsia="Calibri"/>
        </w:rPr>
        <w:t>The previous requirement for improvement relating to food services was implemented.</w:t>
      </w:r>
    </w:p>
    <w:p w:rsidRPr="00A4268A">
      <w:pPr>
        <w:spacing w:before="240" w:line="276" w:lineRule="auto"/>
        <w:rPr>
          <w:rFonts w:eastAsia="Calibri"/>
        </w:rPr>
      </w:pPr>
      <w:r w:rsidRPr="00A4268A">
        <w:rPr>
          <w:rFonts w:eastAsia="Calibri"/>
        </w:rPr>
        <w:t>There are requirements for improvement relating to adverse event records, wound management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information (the Code), the complaints process and the Nationwide Health and Disability Advocacy Service, was available. This information is given to residents’ and their families on admission to the facility. The business and care manager is responsible for management of all complaints. Interviews confirmed that staff are polite and respectful of residents needs and communication is appropriate.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Oceania Care Company Limited is the governing body and is responsible for the service provided at Eldon Rest Home. The business and care manager is appropriately qualified and experienced. The clinical manager is responsible for oversight of clinical care. Quality improvement data is collected, collated, analysed and reported through the use of their national quality system, however there is a requirement for improvement relating to signing off adverse event records. The service has policies and procedures that are aligned with current good practice. The service has a document control system to manage all their policies and procedures. Key quality indicators are included in the quality management system. The service has a quality management plan, including risks and hazard management. Corrective action plans are in place to address areas requiring improvement. Risks are addressed and communicated to residents, their families and staff.</w:t>
      </w:r>
    </w:p>
    <w:p w:rsidRPr="00A4268A">
      <w:pPr>
        <w:spacing w:before="240" w:line="276" w:lineRule="auto"/>
        <w:rPr>
          <w:rFonts w:eastAsia="Calibri"/>
        </w:rPr>
      </w:pPr>
      <w:r w:rsidRPr="00A4268A">
        <w:rPr>
          <w:rFonts w:eastAsia="Calibri"/>
        </w:rPr>
        <w:t>Adverse events are documented and discussed with residents and/or their family. The service provider understands their statutory obligations regarding essential notification. Service shortfalls are documented and opportunities for improvement are identified.</w:t>
      </w:r>
    </w:p>
    <w:p w:rsidRPr="00A4268A">
      <w:pPr>
        <w:spacing w:before="240" w:line="276" w:lineRule="auto"/>
        <w:rPr>
          <w:rFonts w:eastAsia="Calibri"/>
        </w:rPr>
      </w:pPr>
      <w:r w:rsidRPr="00A4268A">
        <w:rPr>
          <w:rFonts w:eastAsia="Calibri"/>
        </w:rPr>
        <w:t>There are human resource policies implemented relating to recruitment, selection, orientation and staff training and staff development. Professional qualifications are validated and registration with professional bodies is verified. A documented rationale for determining staffing levels and skill mix is implemented to reflect the resident’s acuity to ensure the correct allocation of clinical staff is applied. The service has an annual training plan to ensure ongoing training and education for all staff members. The service is currently training additional staff relating to interRAI assessments. The business and care manager and clinical manager are available, after hours, if required, for clinical support. Care staff, residents and family report that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on admission by a registered nurse. Residents’ needs, goals and outcomes are recorded in residents’ care plans. The care plan evaluations are conducted on a regular basis. Residents and families interviewed report being informed and involved, and satisfied with services provided.</w:t>
      </w:r>
    </w:p>
    <w:p w:rsidRPr="00A4268A" w:rsidP="00621629">
      <w:pPr>
        <w:spacing w:before="240" w:line="276" w:lineRule="auto"/>
        <w:rPr>
          <w:rFonts w:eastAsia="Calibri"/>
        </w:rPr>
      </w:pPr>
      <w:r w:rsidRPr="00A4268A">
        <w:rPr>
          <w:rFonts w:eastAsia="Calibri"/>
        </w:rPr>
        <w:t xml:space="preserve">Activities programmes provide a wide range of activities and involvement with the wider community. </w:t>
      </w:r>
    </w:p>
    <w:p w:rsidRPr="00A4268A" w:rsidP="00621629">
      <w:pPr>
        <w:spacing w:before="240" w:line="276" w:lineRule="auto"/>
        <w:rPr>
          <w:rFonts w:eastAsia="Calibri"/>
        </w:rPr>
      </w:pPr>
      <w:r w:rsidRPr="00A4268A">
        <w:rPr>
          <w:rFonts w:eastAsia="Calibri"/>
        </w:rPr>
        <w:t>The medicine management policies and procedures guide practice. Medication charts comply with legislation and guidelines.</w:t>
      </w:r>
    </w:p>
    <w:p w:rsidRPr="00A4268A" w:rsidP="00621629">
      <w:pPr>
        <w:spacing w:before="240" w:line="276" w:lineRule="auto"/>
        <w:rPr>
          <w:rFonts w:eastAsia="Calibri"/>
        </w:rPr>
      </w:pPr>
      <w:r w:rsidRPr="00A4268A">
        <w:rPr>
          <w:rFonts w:eastAsia="Calibri"/>
        </w:rPr>
        <w:t>The menu has been reviewed by a registered dietitian as meeting nutritional guidelines. Residents’ special dietary requirements, need for feeding assistance or modified equipment are met. Resident interviews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provides a suitable physical environment specific to the needs of the residents. The building and equipment complies with legislative requirements. The physical environment reduces risks and promotes safety and independence for residents. Residents are provided with accessible and safe external areas. The service has a current building warrant of fitness, expiring in April 2017.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Staff education in restraint, de-escalation and challenging behaviour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service provides an environment which minimises the risk of infection to residents, staff and visitors. Surveillance of infections is occurring according to the descriptions of the process in the infection prevention and control programme. Data on the nature and frequency of identified infections is collated and analysed. The results of surveillance are reported through all levels of the organisation, including governance. Surveillance data is benchmarked against other Oceania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7"/>
        <w:gridCol w:w="1280"/>
        <w:gridCol w:w="100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systems in place to manage the complaints processes. The complaints process records a summary of the complaints, the investigation, outcome and other processes of complaints management. All complaints have resolution and documentation to support closure.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 are advised on entry to the facility of the complaint processes and the Code. The complaint process was readily accessible and complaints forms are displayed for easy access. Residents and family interviewed confirmed having an understanding and awareness of these processes.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bi-monthly and residents and their families are able to raise any issues they have during these meetings, as confirmed during interviews. Projects have been completed as a result of identifying shortfalls through complaints, adverse events monitoring and suggestions from residents.</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procedures are in place to ensure staff maintain open, transparent communication with residents and families. The residents' files reviewed provided evidence that communication with family members is documented in residents' records. There is evidence of communication with the general practitioner (GP) and family following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advised access to interpreter services is available through the district health board, if required. Residents in the rest home and hospital as well as family members of residents in the dementia unit, confirmed that they are aware of the staff that are responsible for their care and staff communicate well with them. Admission agreements reviewed were signed and dated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Care Company Limited’s vision, values, mission statement and philosophy are displayed at the entrance to the facility, information in booklets and in staff training is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records their scope, direction and goals in their business, strategic and quality plans. The business and care manager provides monthly reports to the support office. Business status reports include quality and risk management issues, occupancy, human resource issues, quality improvements, internal audit outcomes and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and care manager, supported by a clinical manager and the clinical quality manager. The clinical manager’s position is full time, 40 hours per week. The clinical manager and the business and care manager have shared  responsibility for all clinical matters. The business and care manager has a current annual practising certificate, has worked in aged care for 23 years and has been in this role for 12 years. The clinical manager’s appointment was confirmed with HealthCERT, sighted a copy of the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Eldon Rest Home uses the Oceania Care Company Limited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 and are current. All polices are reviewed by Support office, with input from business and care managers. Policies are linked to the Health and Disability Sector Standard, current and applicable legislation, and evidenced based best practice guidelines. Policies are available to staff in hard copy. New and revised policies are presented to staff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with quality objectives was reviewed. These are used to guide the quality programme. Family/resident and staff satisfaction surveys are completed as part of their audit programme and collated results for surveys were reviewed. There is a hazard register that identifies health and safety risks, as well as risks associated with human resource management, legislative compliance, contractual risks and clinical risk. A health and safety manual is available that includes relevant policies and procedures. Service delivery is monitored through complaints, incidents and accidents, implementation of an internal audit programme, with corrective action plans documented and evidence of resolution of issues completed (refer 1.2.4.) There is documentation that includes collection, collation, and identification of trends and analysis of data.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staff/quality meetings, clinical meetings and health and safety meetings. Meeting minutes evidence communication with staff regarding all aspects of quality improvement and risk management. All meetings have an agenda and minutes are maintained with the identification of people responsible for outcomes and timeframes. Clinical indicators and quality improvement data are recorded and staff are informed at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aware of situations in which the service would need to report and notify statutory authorities, including police attending the facility, unexpected deaths, sentinel events, infectious disease outbreaks, and changes in key managers. </w:t>
            </w:r>
          </w:p>
          <w:p w:rsidR="00EB7645" w:rsidRPr="00BE00C7" w:rsidP="00BE00C7">
            <w:pPr>
              <w:pStyle w:val="OutcomeDescription"/>
              <w:spacing w:before="120" w:after="120"/>
              <w:rPr>
                <w:rFonts w:cs="Arial"/>
                <w:b w:val="0"/>
                <w:lang w:eastAsia="en-NZ"/>
              </w:rPr>
            </w:pPr>
            <w:r w:rsidRPr="00BE00C7">
              <w:rPr>
                <w:rFonts w:cs="Arial"/>
                <w:b w:val="0"/>
                <w:lang w:eastAsia="en-NZ"/>
              </w:rPr>
              <w:t>Staff document adverse, unplanned or untoward events on an accident/incident form. This was confirmed in clinical records and during family/resident interviews. Incident and accident forms are reviewed and corrective actions are implemented by the clinical manager, however the records are not closed out by the business and care manager. Incident reports documented had a corresponding note in the progress notes to inform staff of the incident. Incident and accident records include pressure injuries. Staff confirmed during interview that they are made aware of their responsibilities for completion of adverse events. The service follows the Oceania policy regarding the management of incident and accidents.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and implemented. The skills and knowledge required for each position is documented in job descriptions which outline accountability, responsibilities and authority. These were reviewed on staff files along with employment agreements, reference checking, criminal vetting, completed orientation and induction records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begin this at the time of employment. The whole orientation process, including completion of competencies, takes up to three months. Orientation for staff covers the essential components of the service provided. Care staff interviewed confirmed they have completed an orientation; including competency assessments. Annual competencies are completed by care staff. The majority of staff in the dementia unit have completed appropriate training relating to the management of residents receiving dementia care and the rest of the staff members are in the process of completing this training.</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registered nurses (RN) and business and care manager (BCM) hold current annual practising certificates, along with other health practitioners involved in the service. The BCM is responsible for the in-service training programme. Clinical competencies were reviewed and current. All RNs are expected to participate in the professional development review process (PDRP). An annual performance appraisal schedule is in place and current staff appraisals were sighted on all staff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mixes in order to provide safe service delivery. There are 113 staff, including the management team, clinical staff, a diversional therapist, and household staff. Rosters were reviewed and there is enough staff cover to provide the services.</w:t>
            </w:r>
          </w:p>
          <w:p w:rsidR="00EB7645" w:rsidRPr="00BE00C7" w:rsidP="00BE00C7">
            <w:pPr>
              <w:pStyle w:val="OutcomeDescription"/>
              <w:spacing w:before="120" w:after="120"/>
              <w:rPr>
                <w:rFonts w:cs="Arial"/>
                <w:b w:val="0"/>
                <w:lang w:eastAsia="en-NZ"/>
              </w:rPr>
            </w:pPr>
            <w:r w:rsidRPr="00BE00C7">
              <w:rPr>
                <w:rFonts w:cs="Arial"/>
                <w:b w:val="0"/>
                <w:lang w:eastAsia="en-NZ"/>
              </w:rPr>
              <w:t>Two registered nurses (RN) cover 24 hours a day. The CM on duty five days a week to support the RNs. The BCM and CM are on-call 24 hours a day, seven days a week. Health care assistants and family interviewed reported there are sufficient staff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areas in the hospital wings, including controlled drug storage, evidence an appropriate and secure medicine dispensing system. The rest home and dementia unit medication rooms require secure systems to be implemented. The controlled drug register is maintained and evidenced weekly checks and six monthly physical stock takes. The medication fridge temperatures are conducted and recorded. Expired medicines are returned to pharmacy, however there were expired medicines sighted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rounds were observed and evidenced that the staff members were knowledgeable about the medicine administered and signed off, as the dose was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evidence residents' photo identification, legibility, as required (PRN) medication is identified for individual residents and correctly prescribed, three monthly medicine reviews are conducted and discontinued medicines are dated and signed by the GPs. The rest home residents self-administering medicines, do so according to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and accommodated in the daily meal plan. The food, fluid and nutritional requirements of the residents is provided in line with recognised nutritional guidelines for older people as verified by the dietitian’s documented assessment of the planned menu.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chemical use, cleaning, and food safety practices in the kitchen are monitored. A cleaning schedule was sighted as is verification of compliance. Food temperatures are recorded as are fridge, chiller and freezer temperatures.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sighted satisfaction surveys and resident meeting minutes, and meet the criterion identified as requiring improvement at last certification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residents’ needs and desired outcomes, however not all wound care plans reflect current best practice.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detailed interventions based on assessed needs, desired outcomes or goals of the residents. The GP documentation and records are current. Nursing progress notes and observation charts are maintained.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members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sufficient supplies of equipment seen to be available that comply with best practice guidelines and meet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the diversional therapists (DTs) confirmed the activities programmes meet the needs of the service group and the service has appropriate equipment. There is one activities programme for the rest home, one for the hospital residents and one programme for residents with dementia. Along with the activities staff, the health care assistants in the dementia unit implement individual residents’ activities, as recorded on the residents’ 24-hour activities care plans. Interviews with health care assistants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Regular exercises and outings are provided for those residents able to partake. The activities programmes include input from external agencies and supports ordinary unplanned/spontaneous activities, including festive occasions and celebrations. There are current, individualised activities care plans in residents’ files. The residents’ activities attendance records are maintained. The residents’ meeting minutes evidence residents’ involvement and consultation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 frames in relation to care planning evaluations are documented. The residents' care plans are up-to-date and reviewed six monthly. There is evidence of resident, family, health care assistants, activities staff and GP input in care plan evaluations. In interviews, residents and family confirmed their participation in care plan evaluations and multidisciplinary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contacts the GP, as required. Short term care plans are in some of the residents’ files, used when required. The family are notified of any changes in resident's condition,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the date of expiry is April 2017. There have been no building modifications since the last audit. The service has a scheduled maintenance plan which is implemented with an annual test and tag programme.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observation of the facility confirm there is suitable equipment including; pressure relieving mattresses; shower chairs; hoists and sensor alarm mats.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providing privacy, when required. There are two courtyards and lawn areas with shade, seating and outdoor tables. The service has a secure unit for residents identified as requiring dementia care. Doors into the dementia unit have key pads to ensure that the service is a secure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is the infection control nurse (ICN), who is responsible for the surveillance programme. Monthly surveillance analysis is completed and reported at facilities meetings.</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are diagnosed with infections have short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ICN confirmed no outbreak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process of assessment, care planning, monitoring and evaluation of restraint and enabler use is recorded and implemented. There was one resident at the facility using an enabler and nine residents using restraint on the days of the audit. The restraint and enabler use are documented in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was evidence that restraint minimisation and safe practice (RMSP), enabler usage and prevention and/or de-escalation education and training is provided. The staff restraint competencies are current.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47"/>
        <w:gridCol w:w="1280"/>
        <w:gridCol w:w="6381"/>
        <w:gridCol w:w="1403"/>
        <w:gridCol w:w="17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forms are completed. The family members are informed and corrective actions are identified and implemented. The clinical manager signs the forms in evidence of having implemented corrective actions. The forms provide opportunity for the business and care manager (BCM) to sign the incident/accident records when closing out the incident, however these records are not signed. Ten out of ten incident/accident records reviewed during the onsite audit were not signed by the BCM as closed out.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records are not closed out.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BCM signs all incident/accident records in evidence of the incident having been closed out.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rooms in the two hospital wings are secure and accessed by authorised persons only. Both hospital medication rooms have key pad access into the rooms. The rest home and the dementia unit medication rooms are accessed by a master key that all staff carry.</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medication room there were expired medicines sighted of residents’ no longer residing in the unit. The expired medicines included Class C controlled drugs.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rest home and the dementia unit medication rooms can be accessed by unauthorised staff.</w:t>
            </w:r>
          </w:p>
          <w:p w:rsidR="00EB7645" w:rsidRPr="00BE00C7" w:rsidP="00BE00C7">
            <w:pPr>
              <w:pStyle w:val="OutcomeDescription"/>
              <w:spacing w:before="120" w:after="120"/>
              <w:rPr>
                <w:rFonts w:cs="Arial"/>
                <w:b w:val="0"/>
                <w:lang w:eastAsia="en-NZ"/>
              </w:rPr>
            </w:pPr>
            <w:r w:rsidRPr="00BE00C7">
              <w:rPr>
                <w:rFonts w:cs="Arial"/>
                <w:b w:val="0"/>
                <w:lang w:eastAsia="en-NZ"/>
              </w:rPr>
              <w:t>ii) There are expired medicines in the dementia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w:t>
            </w:r>
          </w:p>
          <w:p w:rsidR="00EB7645" w:rsidRPr="00BE00C7" w:rsidP="00BE00C7">
            <w:pPr>
              <w:pStyle w:val="OutcomeDescription"/>
              <w:spacing w:before="120" w:after="120"/>
              <w:rPr>
                <w:rFonts w:cs="Arial"/>
                <w:b w:val="0"/>
                <w:lang w:eastAsia="en-NZ"/>
              </w:rPr>
            </w:pPr>
            <w:r w:rsidRPr="00BE00C7">
              <w:rPr>
                <w:rFonts w:cs="Arial"/>
                <w:b w:val="0"/>
                <w:lang w:eastAsia="en-NZ"/>
              </w:rPr>
              <w:t>i) The medication rooms in the rest home and the dementia unit are secure and only accessed by authorised staff.</w:t>
            </w:r>
          </w:p>
          <w:p w:rsidR="00EB7645" w:rsidRPr="00BE00C7" w:rsidP="00BE00C7">
            <w:pPr>
              <w:pStyle w:val="OutcomeDescription"/>
              <w:spacing w:before="120" w:after="120"/>
              <w:rPr>
                <w:rFonts w:cs="Arial"/>
                <w:b w:val="0"/>
                <w:lang w:eastAsia="en-NZ"/>
              </w:rPr>
            </w:pPr>
            <w:r w:rsidRPr="00BE00C7">
              <w:rPr>
                <w:rFonts w:cs="Arial"/>
                <w:b w:val="0"/>
                <w:lang w:eastAsia="en-NZ"/>
              </w:rPr>
              <w:t>ii) The expired medicines are returned to pharmacy.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evidence detailed interventions consistent with meeting residents’ needs. The interventions/treatment plans for wounds do not reflect best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relating to wound management at the facility, evidenced there were 48 wounds being treated at time of audit. Of the 48 wounds there were: 28 skin tears; 8 lesions; 6 open wounds; 3 PIs and 3 ulcers. Review of all wound management plans was conducted for the use of betadine. There were 18 wound management plans that included the use of betadine in the treatment of wounds. Discussions were held with the clinical manager and the business and care manager regarding the use of best practice around wound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wound management plans do not reflect current accepted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wound management plans reflect best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Eldon Lodge</w:t>
    </w:r>
    <w:bookmarkEnd w:id="58"/>
    <w:r>
      <w:rPr>
        <w:rFonts w:cs="Arial"/>
        <w:sz w:val="16"/>
        <w:szCs w:val="20"/>
      </w:rPr>
      <w:tab/>
      <w:t xml:space="preserve">Date of Audit: </w:t>
    </w:r>
    <w:bookmarkStart w:id="59" w:name="AuditStartDate1"/>
    <w:r>
      <w:rPr>
        <w:rFonts w:cs="Arial"/>
        <w:sz w:val="16"/>
        <w:szCs w:val="20"/>
      </w:rPr>
      <w:t>26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