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Sprott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Sprott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Sprott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April 2016</w:t>
      </w:r>
      <w:bookmarkEnd w:id="7"/>
      <w:r w:rsidRPr="009418D4">
        <w:rPr>
          <w:rFonts w:cs="Arial"/>
        </w:rPr>
        <w:tab/>
        <w:t xml:space="preserve">End date: </w:t>
      </w:r>
      <w:bookmarkStart w:id="8" w:name="AuditEndDate"/>
      <w:r w:rsidR="00A4268A">
        <w:rPr>
          <w:rFonts w:cs="Arial"/>
        </w:rPr>
        <w:t>27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Sprott House is a not-for-profit organisation owned by a board of trustees, and operated by a general manager.  Rest home, hospital and dementia level of care is provided for up to 97 residents.  On the day of the audit, there were 93 residents.</w:t>
      </w:r>
    </w:p>
    <w:p w:rsidRPr="00A4268A">
      <w:pPr>
        <w:spacing w:before="240" w:line="276" w:lineRule="auto"/>
        <w:rPr>
          <w:rFonts w:eastAsia="Calibri"/>
        </w:rPr>
      </w:pPr>
      <w:r w:rsidRPr="00A4268A">
        <w:rPr>
          <w:rFonts w:eastAsia="Calibri"/>
        </w:rPr>
        <w:t>The general manager has been with the service for six years.  A clinical and non-clinical management team supports her.  The residents and relatives spoke positively about the care and supports provided at Sprott House.</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general practitioner, management and staff</w:t>
      </w:r>
    </w:p>
    <w:p w:rsidRPr="00A4268A">
      <w:pPr>
        <w:spacing w:before="240" w:line="276" w:lineRule="auto"/>
        <w:rPr>
          <w:rFonts w:eastAsia="Calibri"/>
        </w:rPr>
      </w:pPr>
      <w:r w:rsidRPr="00A4268A">
        <w:rPr>
          <w:rFonts w:eastAsia="Calibri"/>
        </w:rPr>
        <w:t xml:space="preserve">The service has addressed one of two previous audit findings around dementia care training. Improvements continue to be required around monitoring. </w:t>
      </w:r>
    </w:p>
    <w:p w:rsidRPr="00A4268A">
      <w:pPr>
        <w:spacing w:before="240" w:line="276" w:lineRule="auto"/>
        <w:rPr>
          <w:rFonts w:eastAsia="Calibri"/>
        </w:rPr>
      </w:pPr>
      <w:r w:rsidRPr="00A4268A">
        <w:rPr>
          <w:rFonts w:eastAsia="Calibri"/>
        </w:rPr>
        <w:t xml:space="preserve">The service has maintained continuous improvement rating around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an open disclosure and interpreter’s policy.  Management promote open disclosure and have an open door policy.  There is a complaints policy supporting practice and an up-to-date register.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Sprott House has embedded a quality and risk management system that supports the provision of clinical care.  Key components of the quality management system, link to a number of facility meetings including health and safety/infection control committee meetings.  An annual resident satisfaction survey is completed and there are regular resident meetings.  There are human resources policies including recruitment, selection, orientation and staff training and development.  The service has an induction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completes initial assessments and InterRAI assessments.  The registered nurses complete care plans and evaluations within the required timeframes.  Care plans are based on the InterRAI outcomes and other assessments and are clearly written and caregivers report that they are easy to follow.  Residents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There are activities planned to cover the 24-hour period for residents in the dementia care unit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General practitioners review residents at least three monthly or more frequently if needed.  All staff administering medications have annual competencies and education. </w:t>
      </w:r>
    </w:p>
    <w:p w:rsidRPr="00A4268A" w:rsidP="00621629">
      <w:pPr>
        <w:spacing w:before="240" w:line="276" w:lineRule="auto"/>
        <w:rPr>
          <w:rFonts w:eastAsia="Calibri"/>
        </w:rPr>
      </w:pPr>
      <w:r w:rsidRPr="00A4268A">
        <w:rPr>
          <w:rFonts w:eastAsia="Calibri"/>
        </w:rPr>
        <w:t xml:space="preserve">Meals are prepared on site by a contracted agency under the direction of a dietitian.  The menu is varied and appropriate.  Individual and special dietary needs are catered for and nutritious snacks are available over the 24-hour period.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policies and procedures for the use restraint or enablers that align with the restraint minimisation safe practice standards.  The policy includes the definition of the use of enablers.  There were 12 residents using restraints and 6 residents using enablers.  The unit manager/occupational therapist is the restraint coordinator.  Staff receive training around restraint/enabler use including the management of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coordinators (quality manager and clinical services manager/registered nurse) are responsible for collating infection events and providing a monthly report to management and staff.  Infection control policies and guidelines include definitions for surveillance.  The infection control coordinators use the information obtained through surveillance to determine infection control activities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6"/>
        <w:gridCol w:w="1280"/>
        <w:gridCol w:w="101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The general manager maintains a record of all complaints, both verbal and written, by using a complaints’ register.  There have been seven complaints made in 2015 and two to date for 2016.  All complaints have been managed in line with Right 10 of the Code.  A review of complaints documentation evidenced timely acknowledgement of the complaint by letter, investigation notes and resolution of the complaint to the satisfaction of the complainant.  Advocacy has been offered as part of the complaints process.  Residents and family members advised that they are aware of the complaints procedure.  Discussion around concerns, complaints and compliments were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promotes an open door policy.  Relatives interviewed (two hospital and two dementia care) were aware of the open door policy and confirm the staff and management are approachable and available.  Residents/relatives have the opportunity to feedback on service delivery through annual surveys.  Results and corrective actions/areas for improvement are discussed at resident meetings and included in the seasonal newsletters for residents/relatives and staff.  There are resident meetings held in each unit that are open to families to attend.  Accident/incident forms reviewed evidenced relatives had been notified of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Sprott House provides rest home, hospital and dementia level care for up to 97 residents.  Seventy three beds are dual purpose rest home/hospital level.  The dementia care unit has 24 beds.  Renovations have not yet begun on the additional dementia care room approved by HealthCERT October 2015 (link 1.4.2)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33 rest home residents, 37 hospital residents and 22 dementia care residents.  All residents were under the ARCC.  Respite service are provided as required.  There were no residents under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Sprott House is a not-for-profit organisation governed by a board of trustees.  The Trustees/directors employ a general manager (also a director), who provides management and clinical information to the board.  The general manager attends board meetings and is responsible for the operation of the residential service and the 13 villas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been with the service six years and is supported by a clinical services manager/registered nurse, finance and administration manager. support services manager (non-clinical) and a quality/education manager.    </w:t>
            </w:r>
          </w:p>
          <w:p w:rsidR="00EB7645" w:rsidRPr="00BE00C7" w:rsidP="00BE00C7">
            <w:pPr>
              <w:pStyle w:val="OutcomeDescription"/>
              <w:spacing w:before="120" w:after="120"/>
              <w:rPr>
                <w:rFonts w:cs="Arial"/>
                <w:b w:val="0"/>
                <w:lang w:eastAsia="en-NZ"/>
              </w:rPr>
            </w:pPr>
            <w:r w:rsidRPr="00BE00C7">
              <w:rPr>
                <w:rFonts w:cs="Arial"/>
                <w:b w:val="0"/>
                <w:lang w:eastAsia="en-NZ"/>
              </w:rPr>
              <w:t>There is a strategic plan, a business plan, and a risk management plan covering 2012 to 2017, which identifies the philosophy of care, mission statement and business objectives/goals and the values of the trust and the risks identified by the management team and the board.  The board of directors, general manager and management team review the strategic and business plans as required and the risk management plan annually.  Quality goals for 2016 include improved information exchange through updating the facility website, introduction of an electronic medication system and the addition of another dementia 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maintained at least eight hours annually of professional development related to managing a rest home/hospital/dementia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A range of policies and procedures support service delivery that meets the required standards and legislation.  The use of InterRAI assessments are linked into clinical management processes.  Facility meetings include management, clinical, unit managers, health and safety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sighted evidence there is discussion around quality data including complaints, compliments, health and safety, accident/incidents, infection control, internal audit and survey results.  Staff interviewed (seven caregivers, three registered nurses and three unit managers) state they are well informed and have ready access to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scheduled.  Corrective actions are raised for any areas of non-compliance and are re-audited in three weeks and signed off when completed.  Resident/relative satisfaction surveys are completed annually.  Results viewed had been collated and fed back to the participants and included identified areas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manager/health and safety officer (non-clinical) shares the health and safety role with the clinical services manager/registered nurse.  The health and safety officer has completed external health and safety training and attends the district health board risk management group meetings.  Each wing has two health and safety representatives.  All representatives have attended health and safety training.  The health and safety committee meets three monthly.  The meeting minutes evidence trends and analysis of accidents/incidents.  The hazard register is current.  The health and safety policies have been reviewed to reflect current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which is part of the risk management and health and safety framework.  The service collects incident and accident data and reports monthly to the health and safety officer, clinical meetings and the three monthly health and safety committee.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accident/incident forms (seven rest home, six hospital and three dementia-care) were reviewed from February, March and April 2016.  All incident forms identified timely RN assessment of the resident and corrective actions to minimise resident risk.  Not all neurological observations had been completed for unwitnessed falls and any known head injury (link 1.3.6.1).  Next of kin had been notified for all incidents/accidents as per written instructions for notification of accident/incidents.  The caregivers interviewed could discuss the incident reporting process.  The clinical services manager investigates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interviewed could describe situations that would require reporting to relevant authorities.  There have been two section 31 reports to HealthCERT that have been closed-out.  One sentinel event has been reported to the Ministry of Health and Worksafe NZ.  Internal investigations were completed for the three sentinel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nursing  practising certificates and allied health professionals is current.  Seven staff files were reviewed (three RNs, two caregivers, one laundry and one cleaner).  All files contained relevant employment documentation including current performance appraisals and completed orientations.  The orientation programme provides new staff with relevant information for safe work practice.  Staff interviewed are able to describe the orientation process and believed new staff were adequately orientated to the service.  Staff complete competencies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supported to complete careerforce aged care qualifications.  The clinical services manager is a careerforce assessor.  Nursing staff are supported to attend external education.  Seven RNs (including the clinical services manager) have completed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training plan has been changed to monthly full study days that cover the mandatory requirements.  Other training provided on-site includes moving and handling (physiotherapist) and medication (pharmacist).  All nursing staff, caregiver team leaders and activities personnel have current first aid certificates.  All 24 caregivers who work in the dementia care unit have completed the dementia unit standards.  The previous finding around dementia unit standards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A roster provides sufficient and appropriate coverage for the effective delivery of care and support.  The general manager and the clinical services manager/RN are on duty during the day Monday to Friday.  The clinical services manager provides the on-call requirement for clinical concerns and the general manager facility concerns.  There are two qualified nurses on duty 24 hours.  One RN provides clinical support to the dementia unit as required.  The unit manager for the dementia care unit is a qualified occupational therapist.  Residents and relatives state there were adequate staff on duty at all times.  Staff state they feel supported by the clinical services manager and general manager who respond quickly to after hour clinical or facility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clinical staff who administer medications have been assessed on an annual basis, for competency.  Education around safe medication administration has been provided.  Staff were observed to be safely administering medications.  The registered nurses and care staff interviewed were able to describe their role concerning medicine administration.  There were no self-medicating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twelve medication charts sampled met legislative prescribing requirements.  The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delivered to the site by the pharmacy.  The fortnightly robotic rolls are checked and signed-in by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 temperatures are monitored and temperatures are within acceptable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Sprott House are prepared and cooked on site by a contracted service, and supervised by a qualified chef.  There is a four weekly summer/winter menu, which has been reviewed by a dietitian.  Meals are delivered to each unit’s dining area.  Dietary needs are known with individual likes and dislikes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Family surveys and interviews with residents allow the opportunity for resident feedback on the meals and food services generally.  Residents/family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and prior to serving food temperatures are recorded on each meal.  The dishwasher is checked regularly by the chemical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additional nutritious snacks are available over 24 hours in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undertake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or clinical manager initiates a review and if required, GP or specialist consultation.  The family members confirmed on interview they are notified of any changes to their relative’s health.  The registered nurse (RN) and caregivers follow the care plan and report progress against the care plan each shift at handover (witnessed).  Care plan interventions record residents’ needs.  Interviews with the unit managers and the RNs demonstrated an understanding of the individualised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assessment, monitoring and wound-management plans are in place for all wounds.  On the day of audit, there were nine skin tears, two chronic wounds and two residents with donor and graft site wounds.  There was one stage-one pressure injury.  There is evidence of GP, dietitian and specialist involvement in wounds/pressure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monitoring forms in place such as blood pressure, weight, pain and neurological observations.  Implementation and completion of neurological observations was not fully evident.  The previous finding remains open.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recreation manager (RM) who has qualifications in art and psychotherapy and is working towards a diversional therapy qualification.  The RM oversees two activity assistants and a volunteer.  The activity assistants are also undertaking diversional therapy training.  An activity assessment is completed on admission in consultation with the resident/family (as appropriate), and again following three weeks, three monthly then six monthly.  Activity plans sighted in all six files cover the 24-hour period and were reviewed six monthly at the same time as the care plans.  The service has maintained a continuous improvement around provision of activities and recreation.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wide range of activities is offered and reflects resident’s needs, and participation is voluntary.  One-on-one activities occur for residents who are unable or choose not to be involved in group activities.  Activity participation sheets were maintained along with weekly progress notes.  In the dementia unit, staff were observed at various times throughout the day diverting residents from behaviours.  The individual activities observed were appropriate for people with dementia.  There were resources available for care staff to use for one-on-one time with the resident over the 24-hour period. Residents in the rest home and hospital stated they were satisfied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reviewed at least six monthly and have been updated as changes were noted in care requirements.  Care plan evaluations were comprehensive, relate to each aspect of the care plan and record the degree of achievement of goals and interventions.  Short-term care plans are utilised for residents with short-term needs and any changes to the long-term care plan have been dated and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displays a current building warrant of fitness, which expires on 18 July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refurbishment of rooms as they become vacant, improved lighting in bedrooms, new bath installed that can be used for hoist transfers, and three new chair scales.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Architectural plans are being developed for the conversion of a storeroom to an additional dementia care room, however renovation has not yet commenced and therefore was not reviewed at this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coordinator/quality manager shares the role with the clinical services manager.  Both have attended external education.  Infection rates obtained through surveillance are used to determine infection control activities and education needs in the facility.  Infection rates, types, and relevant information is displayed for staff.  Definitions of infections are in place appropriate to the complexity of service provided.  Infection control data is discussed at both the management and staff meetings.  Trends are identified and preventative measures put in place.  Internal audits for infection control are included in the annual audit schedule.  There is close liaison with the GP who advises and provides feedback /information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outbreak in June 2015 that was contained and managed appropriately.  Relevant authorities had been notified and commended the service on their outbreak management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The unit manager/occupational therapist for the dementia unit is the restraint coordinator.  Staff receive annual training on restraint/enabler use.  On the day of the audit, there were six residents with enablers (two rest home and four hospital) and 12 hospital residents with restraint (all bedrails).  The restraint oversight committee reviews all enabler and restraint use at least three monthly.  Enablers are voluntary.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8"/>
        <w:gridCol w:w="1280"/>
        <w:gridCol w:w="4051"/>
        <w:gridCol w:w="2483"/>
        <w:gridCol w:w="41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forms are completed for all witnessed and unwitnessed falls.  The RN on duty completes a clinical assessment of the resident immediately post fall.  Neurological observations reviewed had not always been commenced for unwitnessed falls and/or had not been continued for the required period of time as per best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neurological observations commenced for witnessed falls had been completed but over variable time periods.  There were no neurological observations for two residents who had seven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neurological observations are completed for a specified timeframe consistent with best practice for all witnessed falls where the resident has hit their head.  Ensure neurological observations are commenced and completed for all unwitnessed falls if there is suspicion that the resident may have suffered trauma to the head as per facility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2"/>
        <w:gridCol w:w="1280"/>
        <w:gridCol w:w="2283"/>
        <w:gridCol w:w="79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surveys and one-on-one feedback from residents (as appropriate) and families.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feedback received from residents and families in February 2016, the service has increased the provision of musical entertainment from once a week to twice a week.  A music therapist has also been contracted for weekly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ongoing project to identify residents at risk of isolation with targeted interventions implemented to reduce the risk.  There is an activity person assigned to each unit with separate activity programmes that meet the recreational needs and preferences of each group of residents.  Wi-Fi has been installed for resident and family use to enhance communication between family and friends.  A community project was undertaken to landscape the dementia unit outdoor courtyard with raised garden beds, sensory gardens, seating and shade sails.  </w:t>
            </w:r>
          </w:p>
          <w:p w:rsidR="00EB7645" w:rsidRPr="00BE00C7" w:rsidP="00BE00C7">
            <w:pPr>
              <w:pStyle w:val="OutcomeDescription"/>
              <w:spacing w:before="120" w:after="120"/>
              <w:rPr>
                <w:rFonts w:cs="Arial"/>
                <w:b w:val="0"/>
                <w:lang w:eastAsia="en-NZ"/>
              </w:rPr>
            </w:pPr>
            <w:r w:rsidRPr="00BE00C7">
              <w:rPr>
                <w:rFonts w:cs="Arial"/>
                <w:b w:val="0"/>
                <w:lang w:eastAsia="en-NZ"/>
              </w:rPr>
              <w:t>Achievements to date include the coordination of a volunteer group who provide one-on-one time with residents at risk of isolation, especially in the weekends.  On the day of audit, the courtyard was observed being used by residents and families.  Dementia care relatives interviewed commented on the environmental improvements.  The resident/relative satisfaction survey showed an increase in satisfaction around the activity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Sprott Care Limited</w:t>
    </w:r>
    <w:bookmarkEnd w:id="58"/>
    <w:r>
      <w:rPr>
        <w:rFonts w:cs="Arial"/>
        <w:sz w:val="16"/>
        <w:szCs w:val="20"/>
      </w:rPr>
      <w:tab/>
      <w:t xml:space="preserve">Date of Audit: </w:t>
    </w:r>
    <w:bookmarkStart w:id="59" w:name="AuditStartDate1"/>
    <w:r>
      <w:rPr>
        <w:rFonts w:cs="Arial"/>
        <w:sz w:val="16"/>
        <w:szCs w:val="20"/>
      </w:rPr>
      <w:t>26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