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Cornwall Park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Cornwall Park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2016</w:t>
      </w:r>
      <w:bookmarkEnd w:id="7"/>
      <w:r w:rsidRPr="009418D4">
        <w:rPr>
          <w:rFonts w:cs="Arial"/>
        </w:rPr>
        <w:tab/>
        <w:t xml:space="preserve">End date: </w:t>
      </w:r>
      <w:bookmarkStart w:id="8" w:name="AuditEndDate"/>
      <w:r w:rsidR="00A4268A">
        <w:rPr>
          <w:rFonts w:cs="Arial"/>
        </w:rPr>
        <w:t>13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35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Cornwall Park Hospital is part of the Bupa group.  The service is certified to provide hospital services (psychogeriatric level care) for up to 39 residents.  On the day of the audit, there were 35 residents.</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This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 xml:space="preserve">A care home manager (non-clinical) who is new to the role currently manages the service. The regional operations manager and a clinical manager, who is also new to the role, support the care home manager.  A comprehensive orientation and in-service training programme is in place that provides staff with appropriate knowledge and skills to deliver care and support. </w:t>
      </w:r>
    </w:p>
    <w:p w:rsidRPr="00A4268A">
      <w:pPr>
        <w:spacing w:before="240" w:line="276" w:lineRule="auto"/>
        <w:rPr>
          <w:rFonts w:eastAsia="Calibri"/>
        </w:rPr>
      </w:pPr>
      <w:r w:rsidRPr="00A4268A">
        <w:rPr>
          <w:rFonts w:eastAsia="Calibri"/>
        </w:rPr>
        <w:t>Twelve of fifteen shortfalls from the previous audit have been addressed.  These were around incident/accident documentation, staff performance issues, care plan timeframes, registered nurse follow-up, medication documentation, chemical management, maintenance, locked exit doors, cleaning, restraint management and outbreak documentation. Further improvements are required around communication of quality activities, implementation of monitoring and updating care plans.</w:t>
      </w:r>
    </w:p>
    <w:p w:rsidRPr="00A4268A">
      <w:pPr>
        <w:spacing w:before="240" w:line="276" w:lineRule="auto"/>
        <w:rPr>
          <w:rFonts w:eastAsia="Calibri"/>
        </w:rPr>
      </w:pPr>
      <w:r w:rsidRPr="00A4268A">
        <w:rPr>
          <w:rFonts w:eastAsia="Calibri"/>
        </w:rPr>
        <w:t>This audit has identified that improvements are required in relation to corrective action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Families interviewed report that they are kept informed.  Family/whānau and/or EPOAs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are appropriate to the needs of the residents.  A care home manager and clinical manager are responsible for the day-to-day operations of the facility.  Quality and risk management processes are directed by policy and procedure.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meeting legislative requirements.  An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They are clearly written and healthcare assistants report they are easy to follow.  Families interviewed confirmed they were involved in the care planning and review process.  </w:t>
      </w:r>
    </w:p>
    <w:p w:rsidRPr="00A4268A" w:rsidP="00621629">
      <w:pPr>
        <w:spacing w:before="240" w:line="276" w:lineRule="auto"/>
        <w:rPr>
          <w:rFonts w:eastAsia="Calibri"/>
        </w:rPr>
      </w:pPr>
      <w:r w:rsidRPr="00A4268A">
        <w:rPr>
          <w:rFonts w:eastAsia="Calibri"/>
        </w:rPr>
        <w:t>An activities coordinator facilitates the activities programme.  Families report satisfaction with the activities programme.  The programme is appropriate to resident cognitive and physical abilities.</w:t>
      </w:r>
    </w:p>
    <w:p w:rsidRPr="00A4268A" w:rsidP="00621629">
      <w:pPr>
        <w:spacing w:before="240" w:line="276" w:lineRule="auto"/>
        <w:rPr>
          <w:rFonts w:eastAsia="Calibri"/>
        </w:rPr>
      </w:pPr>
      <w:r w:rsidRPr="00A4268A">
        <w:rPr>
          <w:rFonts w:eastAsia="Calibri"/>
        </w:rPr>
        <w:t>Medication polices comply with legislation and guidelines. Registered nurses and senior caregivers who administer medications have an annual competency assessment and receive annual education.   Meals are prepared on site and the menu is varied and appropriate.  Individual and special dietary needs are catered for.  Families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has five residents using restraint and no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manages complaints received.  The previous six months of complaint records were reviewed and there was a complaint management record completed for each complaint.  All complaints had been investigated with appropriate documentation on record.  A record of complaints each month is maintained by the facility on the complaint register.  The number of complaints received each month is included in the Bupa benchmarking programme.  Interview with relatives confirm they were provided with information on complaints and that a complaints procedure is provided to residents/family whānau within the information pack at entry, and is also around the facility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received in the past six months are resolved, including a complaint received via the Health and Disability Commissioner in August 2015.  The service has implemented the corrective actions required. The revised Bupa complaints policy was sighted, the local nursing strategy has been implemented which resulted in the appointment of a non-clinical care home manager and a clinical manager, and tracking and clinical supervision for the registered nurses involved in the complaint. Management advised that the complaint is now closed (Health and Disability letter confirmation sighted).  </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follow-up against aspects of the HDC complaint that included communication, complaints management, quality and risk management systems, human resource management, service provider availability, service provision requirements, service delivery, and evaluations. This audit has identified issues with the quality and risk management systems (link 1.2.3.6, 1.2.3.8, and 1.2.3.9) and service delivery (link 1.3.6.1).  There were no other identified issues in respect of the complaint in the standards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Accident/incident forms have a section to indicate if family/whānau have been informed (or not) of an accident/incident.   A review of 10 incident forms met this requirement.  Seven family members interviewed confirmed they are notified following a change of health status of their family member.  There was an interpreter policy and contact details of interpreters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Cornwall Park provides specialist hospital level care (psychogeriatric) for up to 38 residents and is part of the Bupa group.  On the day of the audit there were 35 residents including one resident at hospital level care. This resident has been at Cornwall Park for a number of years and has been reassessed as hospital (geriatric) level of care (link 2.2.3)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provides a documented weekly report to the Bupa Operations Manager.  The operations manager visits regularly and completes a report to the Director Care Homes/Rehabilitation.  Bupa has robust quality and risk management systems implemented across its facilities.  Across Bupa, four benchmarking groups are established for rest home, hospital, dementia, psychogeriatric/mental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(non-clinical) who has had been in the role for three months. The care home manager was previously the administration manager at Cornwell Park, and had been in that role for 10 years.   The care home manager is supported by a clinical manager (CM) who had been in the role for one week at the time of the audit.  The clinical manager has had previous experience as a clinical leader and has worked as an RN at Cornwall Park for the previous 12 months.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Bupa provides a comprehensive orientation and training/support programme for their managers.  Managers and clinical managers attend annual organisational forums and regional forums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in place.  Interviews with staff (eight caregivers, six registered nurses, a cook, and an activities coordinator) confirmed their understanding of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being implemented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includes an internal audit programme and data collection, analyses and review of adverse events including accidents, incidents, infections, wounds and pressure areas.   Corrective actions were not always documented where shortfalls had been identified in quality data collected.  Benchmarking data and corrective actions were not always documented as discussed at quality or staff meetings and the meeting schedule had not always been followed.  Restraint incidents are discussed at restraint meetings. However, the overall previous finding related to discussion of clinical indictor data and corrective actions at staff meetings remains open.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includes policies to guide practice.  Staff accidents and incidents and identified hazards are monitored. The outdoor garden has been modified since the last audit and the previous hazards in the outdoor garden area have been eliminated.  The service has a current hazard register.  A system has been put in place to review T belt buckles monthly, to ensure they are fit for purpose and not showing any sign of wear or malfunction and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analyses of falls and the identification of interventions on a case-by-case basis to minimise future falls.  Selected residents wear hip protectors to reduce injury from falls and sensor mats are in place to reduce the number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Bupa benchmarking programme.  A sample of ten resident related incident reports were reviewed.  All reports and corresponding resident files reviewed evidence that appropriate clinical care was provided and documented following an incident.  Reports were fully completed and follow-up, referrals and investigations have been conducted as required. The previous audit finding related to the completion of the incident form, documentation in the care plan and corrective actions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incidents and accident data has been communicated to staff, as evidenced in meeting minutes reviewed and staff interviewed. Discussions with service management, confirms an awareness of the requirement to notify relevant authorities in relation to essential notifications.  Family interviewed confirmed they were advised of any incident or accident involving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guide recruitment practices and there are documented job descriptions for all positions.  Appropriate recruitment documentation was seen in the seven staff files reviewed (one clinical manager, two registered nurses, two caregivers, one cook and one activities coordinator).  A register of practising certificates is maintained.  Performance appraisals were current in all files reviewed.  Appropriate follow-up in regards to complaints about staff performance was evidenced.  The previous audit finding related to follow-up of performance/complaints has been addressed. The care home manager advised that the caregiver workforce is stable.  Interviews with caregivers informed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and an RN/EN training day provided through Bupa that covers clinical aspects of care.   A competency programme is in place with different requirements according to work type.  Core competencies are completed annually and a record of completion is maintained.  Staff interviewed were aware of the requirement to complete competency training.  There is a staff member with a current first aid certificate on every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23 caregivers, 18 have completed the required dementia standards and five are currently in the process. The five caregivers currently completing the unit standards have been employed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staffing policy aligns with contractual requirements and includes skill mixes.  The WAS (Wage Analysis Schedule) is based on the Safe Indicators for Aged Care and Dementia Care and the roster is determined using this as a guide.  A fortnightly report from head office includes hours, and whether the hours are over and above.  There is at least one RN and first aid trained member of staff on every shift.  Interviews with staff and relatives inform there are sufficient staff to meet the care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There are policies and procedures in place for safe medicine management that meet legislative requirements.  The service uses an electronic medication system. All medication charts sampled met legislative prescribing requirements and identified indications for use for as required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about medicine administration.  Standing orders are not used and no residents are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reviewed identified that the GP had seen resident’s medication at least three monthly. The service monitors and evaluates residents on antipsychotic medication monthly as evidenced in the five medication charts sampled for residents using antipsychotic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If the fridge temperature were outside of the acceptable range corrective actions were promptly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findings related to the prescribing of ‘as required’ medication and the review of residents using antipsychotic medications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Cornwall are prepared and cooked on site.  There is a four weekly summer and winter menu with dietitian review and audit of menus.  Meals are prepared in a kitchen adjacent to the main dining room for serving.  The cook and kitchen staff are trained in safe food handling and food safety procedures are adhered to.  There is food available for residents outside of meal times.  Residents who require special eating aids are provided for, to promote independence.  Food services staff know resident dietary profiles and likes and dislikes and any changes are communicated to the kitchen via the registered nurses.  A dietitian is available via referral to review residents.  Supplements and fortified foods are provided to residents with identified weight loss issues. The cook was fully aware of residents with weight loss issues and all residents’ food preferences. Family meetings and surveys allow for the opportunity for resident feedback on the meals and food services generally.  Interviews with residents and family members indicate satisfaction with the food service.  There is evidence that there are additional nutritious snacks available over 24 hours.  Caregivers were observed assisting residents with meals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files reviewed, short-term care plans commenced with a change in heath condition, and linked to the long-term care plan.  Long-term care plans were reviewed six monthly.  Interventions were documented for all assessed care needs, however not all monitoring forms were fully completed. The previous audit finding related to interventions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treatment rooms.  There is evidence of GP, dietitian and specialist involvement in wounds/pressure areas.  On the day of audit there were ten wounds (all skin tears).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Strategies for the provisions of a low stimulus environment could be described in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advised they have enough equipment to meet the assessed care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at Bupa Cornwall provides an activities programme over five days per week.  Group activities are voluntary.  Residents are able to participate in a range of activities appropriate to their capabilities.  Bupa Cornwall shares a van and residents are taken on outings at least weekly.   The activities coordinator accompanies the resident on outings. The group activity plans are displayed on noticeboards around the facility.  Residents who do not participate regularly in the group activities are visited for one-on-one sessions, with records kept to ensure all such residents are included.  All interactions observed on the day of the audit indicated a friendly relationship between residents and the activity coordinator.  Each resident has a map of life developed on admission, which forms the basis of the activities plan.  The resident files reviewed included a section of the long-term care plan for activities, which has been reviewed six monthly.  The care plan includes activity over a 24-hour period.  The activities coordinator has maintained six monthly reviews.  Residents’ families interviewed spoke very positively of the activity programme with feedback and suggestions for activities made via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Caregivers were observed various times throughout the day diverting residents from behaviours.  Caregivers assist with activities over the weekend and evenings and there is always a caregiver present in the lounge to observe and monitor residents.  The programme observed was appropriate for older people with mental health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 monthly or earlier if there is a change in health status. There was at least a monthly review and three monthly review of the resident’s medication by the GP.  All changes in health status were documented and followed up.  Reassessments have been completed using InterRAI LTCF for all residents who have had a significant change in health status since 1 July 2015.  The RN completing the plan signs care plan reviews.  However, not all intervention documented in the care plan evaluations were transferred to the care plan.  Where progress is different from expected, the service has not fully responded by initiating changes to the care plan. The previous audit finding related to care plan evaluations remains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chemical/substance safety policy guides all staff in the management of all waste and hazardous substances.  Management of waste, chemical safety and hazardous substances is covered during orientation of new staff and subsequent training sessions have been held around chemical safety.  All chemicals are clearly labelled with manufacturer’s labels.  The previous finding related to labelling of chemicals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19 October 2016.  There is a maintenance person who works 20 hours per week at Bupa Cornwall Park and works at another Bupa Facility.  Reactive and preventative maintenance has been documented monthly, since the last audit. Hot water temperatures are checked and records sighted evidence that temperatures are maintained at no more than 45 degrees Celsius.  An external provider checks fire equipment.  All medical equipment has been calibrated and checked. The previous audit finding related to preventative maintenance and hot water temperature recordings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external areas are well maintained with gardens and outdoor seating and shade available.   The outdoor areas have recently been refurbished and are secure with walking paths. The residents can freely access one of the enclosed garden areas. Two other outdoor areas have locked doors and the residents can only access these areas with supervision.   A quiet, low stimulus area provides safety for non-mobile residents when required. This area has a half stable-door with a keypad access code. The staff complete intentional rounding and the residents in the safe zone area are regularly monitored through the open half door.  There is wheelchair access to all areas. The previous audit finding related to garden access and garden safety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for cleaning and laundry processes.  An external contractor completes all laundry.  There are daily deliveries of laundry.  There are dedicated cleaning staff.  The cleaning staff manage the collection of dirty laundry and delivery of clean laundry.  All equipment and areas of the facility were clean on the days of audit. Care staff complete two hourly visual checks of the toilets and bathroom areas. The previous audit finding related to cleanliness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and analysed monthly, to identify areas for improvement or corrective action requirements (link 1.2.3.8).  Infection control internal audits have been completed.  Infection rates have been low.  Trends are identified and quality initiatives are discussed at staff meetings (link 1.2.3.6). There is a policy describing surveillance methodology for monitoring of infections.  Definitions of infections in place are appropriate to the complexity of service provided.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The infection control coordinator and the clinical manager could describe the process, documentation and evaluation required if an outbreak occurred. The previous audit finding related to infection control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regional restraint group at an organisation level reviews restraint practices and there are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of assessment and evaluation of enabler use is the same as a restraint and is included in the policy.  Currently the service has five restraints (including one under environmental restraint) and no enablers in use.   A register for each restraint is completed that includes a three-monthly evaluation.  </w:t>
            </w:r>
          </w:p>
          <w:p w:rsidR="00EB7645" w:rsidRPr="00BE00C7" w:rsidP="00BE00C7">
            <w:pPr>
              <w:pStyle w:val="OutcomeDescription"/>
              <w:spacing w:before="120" w:after="120"/>
              <w:rPr>
                <w:rFonts w:cs="Arial"/>
                <w:b w:val="0"/>
                <w:lang w:eastAsia="en-NZ"/>
              </w:rPr>
            </w:pPr>
            <w:r w:rsidRPr="00BE00C7">
              <w:rPr>
                <w:rFonts w:cs="Arial"/>
                <w:b w:val="0"/>
                <w:lang w:eastAsia="en-NZ"/>
              </w:rPr>
              <w:t>The restraint standards are being implemented and implementation is reviewed through internal audits, facility restraint meetings, and regional restraint meetings and at an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approved restraints documented in the policy (bed rails, lap belts, t belts and environmental restraint).  The restraint coordinator is responsible for ensuring all restraint documentation is completed.  The approval process includes ensuring the environment is appropriate and safe.  One resident (reassessed as hospital level), has been assessed as being on environmental restraint.  Interventions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quiet lounge with a stable door.  The lower door could be locked and opened via a key pad.   This lounge is off the main lounge. Immobile residents that require a quieter space where they will not be disturbed by wandering and agitated residents use this area in the mornings.  Half stable-doors were also in use for immobile residents who were resting on their beds. The half bedroom doors were held closed with a gutter bolt and could be freely opened by staff and family visiting.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using the quiet lounge when the half stable doors were locked, and the residents resting on their beds behind the closed half stable doors, had strategies documented in their care plan.  These strategies described the care and procedures to be implemented whilst the resident was using an area with a locked or closed half door.  Staff were observed checking residents in the quiet lounge and residents in their bedrooms, and they could describe how checks at least every 15mins were completed.  One caregiver is assigned to oversee both lounges at all times. This aspect of the previous audit finding related to use of the locked and closed half doors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is documented and the use of restraint evaluated (link 1.3.6.1).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1"/>
        <w:gridCol w:w="1280"/>
        <w:gridCol w:w="7035"/>
        <w:gridCol w:w="2303"/>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Cornwall Park has an annual meeting schedule.  All meetings scheduled on the 2016-2017 schedule up to the day of audit have been held.  Quality data is being collected and analysed according to the organisational policies.  Corrective actions and quality data was not always being communicated to staff via quality/staff meetings.  A number of the scheduled meetings in 2015 were not conducted including: health and safety, infection control, quality, RN and restraint meetings in December; the caregivers’ restraint and kitchen/domestic meetings in November; the family forums in May and June; and the caregivers’ restraint, registered nurses and activities meetings in May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2014-2015 meeting schedule was not fully implemented and not all the required meetings were held.  ii) Quality data was not consistently communicated to staff (clinical indicator data and internal audit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meeting schedule is fully implemented.  ii) Ensure that quality data and outcomes are communicated to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quality indicator data does not meet the company benchmark, there were examples of where a corrective action plan had been developed and implemented.  However, not all areas identified through the quality management system as needing improvements, had corrective action plans documented and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shortfalls were identified in internal audits completed, and clinical indicator data was above the company benchmark, corrective actions were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 plans are documented and implemented for all areas requiring improvements.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restraint care plans in place, which document the required monitoring whilst the resident is using the restraint.  Two of three residents with restraint have had restraint monitoring consistently documented when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three residents using restraint did not have the required monitoring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required monitoring for residents using a restraint is consistently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evaluated within the required timeframes or with a change in heath condition. Short-term care plans sighted were evaluated and resolved or added to the long-term care plan if the problem is ongoing, as sighted in resident files sampled. Two of five long-term resident files and care plans reviewed had the six monthly evaluations transferred to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long-term resident files reviewed had interventions noted in the evaluations and these were not updated to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interventions noted in the care plan evaluation are transferred to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Cornwall Park Hospital</w:t>
    </w:r>
    <w:bookmarkEnd w:id="58"/>
    <w:r>
      <w:rPr>
        <w:rFonts w:cs="Arial"/>
        <w:sz w:val="16"/>
        <w:szCs w:val="20"/>
      </w:rPr>
      <w:tab/>
      <w:t xml:space="preserve">Date of Audit: </w:t>
    </w:r>
    <w:bookmarkStart w:id="59" w:name="AuditStartDate1"/>
    <w:r>
      <w:rPr>
        <w:rFonts w:cs="Arial"/>
        <w:sz w:val="16"/>
        <w:szCs w:val="20"/>
      </w:rPr>
      <w:t>12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