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Jane Mander Retirement Village Limited - Jane Mander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Jane Mander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Jane Mander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May 2016</w:t>
      </w:r>
      <w:bookmarkEnd w:id="7"/>
      <w:r w:rsidRPr="009418D4">
        <w:rPr>
          <w:rFonts w:cs="Arial"/>
        </w:rPr>
        <w:tab/>
        <w:t xml:space="preserve">End date: </w:t>
      </w:r>
      <w:bookmarkStart w:id="8" w:name="AuditEndDate"/>
      <w:r w:rsidR="00A4268A">
        <w:rPr>
          <w:rFonts w:cs="Arial"/>
        </w:rPr>
        <w:t>6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Jane Mander is part of the Ryman Group of retirement villages and aged care facilities.  The service provides rest home, hospital and dementia level care for up to 142 residents.  On the days of the audit there were 116 residents including nine residents receiving rest home level of care in serviced apartments.  A village manager, who is supported by clinical manager, manages the service.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An improvement is required around care plan interventions.  </w:t>
      </w:r>
    </w:p>
    <w:p w:rsidRPr="00A4268A">
      <w:pPr>
        <w:spacing w:before="240" w:line="276" w:lineRule="auto"/>
        <w:rPr>
          <w:rFonts w:eastAsia="Calibri"/>
        </w:rPr>
      </w:pPr>
      <w:r w:rsidRPr="00A4268A">
        <w:rPr>
          <w:rFonts w:eastAsia="Calibri"/>
        </w:rPr>
        <w:t>The service is commended for achieving continuous improvement ratings around good practice, the volunteer programme and the laundry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Jane Mander provides care in a way that focuses on the individual resident’s quality of life.  There is a Māori Health Plan and implemented policy supporting practice.  Cultural assessments are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reviewed accommodated the choices of residents and/or their family.  Complaint processes are being implemented and complaints and concerns are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Jane Mander is implementing the Team Ryman programme that provides the framework for quality and risk management and the provision of clinical care.  Key components of the quality management system link to a number of meetings including staff meetings.  An annual resident/relative satisfaction survey has been completed and there are regular resident/relative meetings.  Quality and risk performance is reported across the various facility meetings and to the organisation's management team.  Jane Mander provides clinical indicator data for the three services being provided (hospital, rest home and dementia care).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InterRAI assessments, risk assessments, care plans and evaluations within the required timeframes.  Care plans demonstrate service integration.  Resident and family interviewed confirmed they were involved in the care plan process and review.  Care plans were updated for changes in health status.  The general practitioner completes an admission, visits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dementia care unit.  The engage programme meets the abilities and recreational needs of the groups of residents.  A village friend’s volunteer group are involved in the programme.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A dietitian, at an organisational level, designs the menu.  Individual and special dietary needs are accommodated.  Nutritional snacks are available 24 hours for residents in the dementia care unit.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with associated procedures and forms.  The policy contains definitions of restraint and enablers that are congruent with the definitions included in the standards.  The clinical manager/restraint coordinator oversees restraint/enabler usage within the facility. The service currently has ten residents using restraints and four residents voluntarily using enablers.  The restraint coordinator maintains a register.  The restraint approval committee reviewed restraint use.  Staff regularly receive education and training in restraint minimisation and managing behaviours that challenge.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 monthly comparative summary is completed.  The service has had one outbreak that was well managed,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1"/>
        <w:gridCol w:w="1280"/>
        <w:gridCol w:w="91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Health and Disability Commissioner Code of Health and Disability Services Consumers’ Rights (the Code).  Six families (one rest home, one hospital and four dementia care) and eight residents (five rest home, one hospital and two rest home in serviced apartments) interviewed, stated they were provided with information on admission which included the Code.  Interview with 10 care assistants (three rest home, three hospital, three dementia care and one serviced apartments) demonstrated an understanding of the Code.  Residents and relatives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written consents.  Advanced directives are signed for separately.  There is evidence of discussion with family when the GP completes a clinically indicated not for resuscitation order.  Copies of EPOA are kept on the residents file.  Ten caregivers, five registered nurses (RN) and two enrolled nurses (EN) interviewed confirmed verbal consent is obtained when delivering care.  Discussion with family member’s (one rest home, one hospital and four dementia care relatives)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Eleven resident files sampled (three dementia, three rest home, one rest home resident in the serviced apartments and five hospital residents in the care centre)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Jane Mander.  The village manager has overall responsibility for ensuring all complaints (verbal or written), are fully documented and investigated.  The facility has an up-to-date complaints register.  Concerns and complaints are discussed at relevant meetings.  There were six documented complaints made in 2015.  Follow-up letters, investigation and outcome was documented.   Discussion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was also the opportunity to discuss aspects of the Code during the admission process.  Residents and relatives confirmed information had been provided around the Code.  Large print posters of the Code and advocacy information were displayed through the facility.  The village manager reported having an open door policy and described discussing the information pack with residents/relatives on admission.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Jane Mander facility confirmed there were areas that support personal privacy for residents.  During the audit, staff were observed to be respectful of residents’ privacy by knocking on doors prior to entering resident rooms.  The service has a philosophy that promotes quality of life and involves residents in decisions about their care.  Resident preferences are identified during the admission and care planning process with family involvement.  There were instructions provided to residents on entry regarding responsibilities of personal belonging in their admission agreement.  Interview with care assistants described how choice is incorporated into resident cares.  Staff have attended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local iwi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clinical manager (RN), unit coordinators (serviced apartment, rest home, hospital and dementia care) and registered nurses (RN) and care assistants confirmed an awareness of professional boundaries.  Care assistants interviewed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 Team Ryman programme that includes annual planning and a suite of policies/procedures.  Policies are reviewed at an organisational level.  These documents have been developed in line with current accepted best and/or evidenced based practice and are reviewed regularly.  Services are provided at Jane Mander that adhere to the health &amp; disability services standards.  An implemented quality improvement programme includes performance monitoring.  </w:t>
            </w:r>
          </w:p>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policies/procedures to guide practice and an annual in-service education programme that is incorporated into the Team Ryman programme.  There is evidence at Jane Mander that the in-service programme is being implemented.  There is a journal club for RNs and enrolled nurses (EN) held bi-monthly in conjunction with the RN/EN clinical meetings.  There are implemented competencies for caregivers and qualified nurses.  Core competency assessments and induction programmes are being implemented at Jane Mander.  RNs have access to external training.  Residents and relatives interviewed were positive about the care they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are required to record family notification when entering an incident into the system.  Incidents reviewed on the VCare system met this requirement.  Family members interviewed confirmed they are notified following a change of health status of their family member.  Resident and relative meetings are held regularly.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Mander Retirement Village is a Ryman Healthcare facility, situated in Whangarei.  The service currently provides care for up to 112 residents in the care centre at hospital, rest home and dementia level care.  There are also 30 serviced apartments certified to provide rest home level of care.  There were 116 residents on the day of audit including 28 rest home (including nine rest home residents in serviced apartments), 60 hospital level residents (including 20 in dual purpose beds located in the rest home) and 28 residents in the dementia unit (including two on respite). There were no residents under the medical component.  The district health board (DHB) funds one respite bed in the dementia unit.  All other residents were under the ARCC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2015 year have been reviewed and 2016 objectives in place.  There is a health and safety, and risk management programme being implemented at Jane Mander.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 registered nurse who has been in this role for two and a half years.  Prior to this appointment, she was the clinical manager for the facility for 18 months.   A full-time clinical manager supports the village manager.  The clinical manager has been in the role for two years and has over 15 years’ experience as an RN.  RN unit coordinators in each area and clinical advisors at head office support her.  Management are supported by a regional operations manager and clinical practice and audit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 call requirements.  During a temporary absence, the assistant manager and clinical manager will cover the village manager’s role.  The assistant manager covers administrative functions and clinical manager covers clinical care.  The regional operations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Jane Mander service continues to implement the Team Ryman Programme, which links key components of the quality management system to village operations.  There are full facility Team Ryman meetings monthly.  Outcomes from the Team Ryman committee are then reported across the various meetings including the full facility, RN and care assistant meetings.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three monthly.  Clinical meeting minutes were sighted.  Interviews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Relative survey was last completed March 2015.  Results have been collated with annual comparisons for each service.  Areas of concern have been identified and quality improvement plans raised (QIPs) and these have been completed and signed off.  Results have been fed back to participants through resident and relative meetings. Team Ryman prescribes the annual internal audit schedule that has been implemented at Jane Mander.  Internal audit summaries and QIPs are completed where a noncompliance is identified (&lt;90%). Issues and outcomes are reported to the appropriate committee (eg, health and safety).  QIPs reviewed are seen to have been closed-out once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evidence of trending of clinical data, and development of QIPs when volumes exceed targets (eg, falls).  Falls prevention strategies are in place that includes the analysis of falls incidents and the identification of interventions on a case-by-case basis to minimise future falls.  The combined health and safety and infection control committee meet bi-monthly and incidents/accidents and infections are discussed and documented.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Mander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used for comparative purposes.  QIPs have been created when the number of incidents exceeded the benchmark.  Fourteen accident incident forms reviewed (five rest home and nine hospital) identified timely RN assessment and post falls assessments where required.  QIPs were seen to have been actioned and closed out.  Senior management were aware of the requirement to notify relevant authorities in relation to essential notifications.  Notifications to relevant personnel were sighted for an outbreak December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18 RNs (including the clinical manager) have completed their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There are job descriptions for designated officers.  Appropriate recruitment documentation was seen in the 15 staff files reviewed.  Performance appraisals are current in all files reviewed.  Interview with care assistants inform that management are supportive and responsive.  All newly appointed staff complete general induction and role specific orientation.  Health practitioners and competencies policy outlines the requirements for validating professional competencies.  A register of current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aligned with the Team Ryman programme that was being implemented.  Staff ‘catch up’ folders contain education content for staff to read and sign if they were unable to attend training.  There is an aged care education coordinator/EN to support staff working towards the national standards.  Ryman ensures RNs are supported to maintain their professional competency including attending the journal club meetings and completing InterRAI training through the Ryman programme.  Seventeen out of seventeen care assistants who are employed in the dementia care unit have completed their dementia specific units.  Completion of the induction programme and required dementia standards are to be monitored and reported monthly to head office as part of the Team Ryman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on-call requirements, skill mix, staffing ratios and rostering for facilities.  A fulltime clinical manager oversees the care centre.  Each unit in the care centre has a RN unit coordinator. There is at least one RN and first aid trained member of staff on every shift.  Interviews with care assistants informed the RNs are supportive and approachable.  In addition, they reported there are sufficient staff on duty at all times.  Interviews with residents and relatives indicated there are generally sufficient staff to meet resident needs.  Agency staff can be used to cover unexpected absences.  The village manager and clinical manager, both RNs, work full time Monday to Friday and are on call 24/7.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a locked cupboard in both areas.  Care plans and notes were legible and where necessary signed (and dated) by a RN.  Entries reviewed were legible, dated and signed by the relevant care assistant or RN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 informed upon admission.  The service has a well-developed information pack available for residents/families/whānau at entry.  The information pack for residents admitted to the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An RN completes medication reconciliation on delivery of medication and any errors fed back to pharmacy.  Registered nurses, enrolled nurses and senior care staff in the dementia care unit who administer medications, have been assessed for competency on an annual basis.  Qualified nurses and care staff interviewed were able to describe their role about medicine administration.  Education around safe medication administration has been provided.  Medications were stored safely.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Two self-medicating residents in the rest home had been assessed and reviewed three monthly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(10 hospital, six rest home and six dementia care) medication charts were reviewed.  The medication profiles reviewed were legible, up to date and reviewed at least three monthly by the GP.  All medication charts reviewed have ‘as needed’ medications prescribed with an indication for use.  The medication signing sheets corresponded with the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head chef who is supported by cooks and kitchen assistants.  All staff have been trained in food safety and chemical safety.  A four weekly seasonal menu had been designed in consultation with company chefs and the dietitian, at organisational level.  All meals are prepared and cooked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such as a resident with weight loss/weight gain or swallowing difficulties.  Resident likes, dislikes and dietary preferences were known.  Alternative foods are offered.  Cultural, religious and food allergies are accommodated.  Special diets such pureed/soft and diabetic desserts are provided.  Food is delivered in scan boxes and served from bain-maries in each of the unit kitchenettes.  Freezer and chiller temperatures and end-cooked temperatures are taken and recorded twice daily.  Chilled goods temperature is checked on delivery.  Twice daily food temperatures are monitored and recorded.  All foods were date labelled.  A cleaning schedule is maintained.  Feedback on the service is received from resident meetings, surveys and audits.  The head chef maintains regular contact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is referred back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Risk assessments have been completed on admission and reviewed six monthly as part of the evaluation process.  The outcomes of InterRAI assessments and risk assessments (triggered) were reflected in the care plan.  Additional assessments such as behavioural, wound and restraints care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input from allied health.  All resident care plans were resident centred and support needs and interventions were documented in detail to reflect the outcomes of clinical assessments.  Family members interviewed confirm care delivery and support by staff is consistent with their expectations.  Care plans reviewed were amended to reflect changes in health status and were reviewed on a regular basis.  Residents and family stated they were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When a resident's condition alters, the registered nurse initiates a review and if required a GP visit or nurse specialist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minor wounds, two chronic ulcers and one stage 1 pressure injury (hospital level).  Adequate dressing supplies were sighted in the treatment rooms. Wound care advice and support can be sought from the DHB district nursing service and wound product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RNs interviewed could describe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activity coordinators implement a separate activity programme for the rest home, hospital and dementia unit.  All activity team members have a current first aid certificate.  One activity coordinator in the dementia care unit has completed dementia unit standards and the other is progressing through the standards. </w:t>
            </w:r>
          </w:p>
          <w:p w:rsidR="00EB7645" w:rsidRPr="00BE00C7" w:rsidP="00BE00C7">
            <w:pPr>
              <w:pStyle w:val="OutcomeDescription"/>
              <w:spacing w:before="120" w:after="120"/>
              <w:rPr>
                <w:rFonts w:cs="Arial"/>
                <w:b w:val="0"/>
                <w:lang w:eastAsia="en-NZ"/>
              </w:rPr>
            </w:pPr>
            <w:r w:rsidRPr="00BE00C7">
              <w:rPr>
                <w:rFonts w:cs="Arial"/>
                <w:b w:val="0"/>
                <w:lang w:eastAsia="en-NZ"/>
              </w:rPr>
              <w:t>The Ryman ‘Engage’ programme is currently delivered Monday to Friday in the rest home and hospital areas.  There are two activity coordinators (one for each unit) providing activities in the dementia unit over the seven day week from 9.30am – 6.30pm.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all cognitive and physical abilities of the resident group.  Residents in the dementia care unit were observed being taken for supervised walks outside.  Spontaneous pet therapy sessions occur.  Activities were observed to be delivered simultaneously in the rest home, hospital and dementia unit.  Rest home residents in the serviced apartment may choose to attend either the serviced apartment or rest home programme.  Daily contact is made and one-on-one time spent with residents who are unable to participate in group activities or choose not to be involved in the activity programme.  ‘Village friends’ is a group of village volunteers who are involved in the activities programme.  The volunteer group has been beneficial for residents who require one-on-one time and small group activities such as the men’s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outings/drives for all residents (as appropriate), weekly entertainment and involvement in community events.  Wheelchair access vans are hired for special community outings.  On-site church services are held on Sundays in the on-site chapel.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Written evaluations describe the residents progress against the residents (as appropriate) identified goals.  The multidisciplinary review involves the RN, GP, activities staff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reassessed for a higher level of care.  Discussion with the clinical manager and three RNs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product use information was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22 December 2016.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maintenance person (full-time and on-call) and gardens and grounds staff.  The maintenance person has a current advanced site safety certificate.  Daily maintenance requests are addressed and a 12-monthly planned maintenance schedule is in place and has been signed off monthly (sighted).  Essential contractors are available 24 hours.  Electrical testing is completed 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Three new gas boilers have been installed in the serviced apartment area due to low water temperatures.  Contractors are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the replacement of lights to LED lights providing better lighting throughout the facility and less maintenance.  The facility has wide corridors with sufficient space for residents to mobilise safely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accessing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assistants and RNs interviewed stated they have sufficient equipment to safely deliver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includes an open plan dining/lounge area.  There is free and safe access to an outdoor deck area with raised gardens, seating and shade. There is a men’s shed in one of the courtyards.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toilet and shower ensuites.  There were communal toilets located close to the communal areas.  Toilets have privacy locks.  The rest home has a spa bath available.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All beds are electric with some ultra-low beds in place.  The bedrooms in the dementia care unit have sensor lighting in the bathrooms that are activated by the bed sensor pad on movement.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functioning kitchen unit and dining area.  Large lounges have seating placed to allow for individual or group activities.  There is a smaller lounge/library area and seating alcoves in the rest home and hospital units.  The communal areas are easily accessible.  The dementia care unit has a spacious open plan dining/lounge area with seating placed appropriately to allow for low stimulus, small group and individual activities.  There is a smaller family/whānau lounge for quiet activities or family visits.  The communal areas in the dementia unit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has been awarded a continuous improvement rating for the labelling process that has reduced the number of missing clothing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cardiopulmonary resuscitation (CPR) are included in the mandatory in-service programme.  There was a first aid trained staff member on every shift.  The village has an approved fire evacuation plan dated 14 January 2010.  Fire drills occur six monthly.  The service has an emergency generator onsite, gas barbeque, sufficient water and food in the event of an emergency event.  Emergency lighting is in place.  An electronic call bell system was evident in all resident’s rooms and ensuites, communal toilets and communal lounge and dining areas.  The building is secure after hours.  The dementia care unit has secure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 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A registered nurse in the dementia care unit is the infection prevention and control officer.  She has a signed job description defining the responsibilities of the role.  The infection prevention and control programme is linked into the quality management system via the Team Ryman programme.  The infection prevention and control committee is combined with the health and safety committee, which meets bimonthly.  The facility meetings also include a discussion of infection prevention and control matters.  The programme is reviewed annually from head office and directed via the Team Ryman annual calendar.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are offered the annual influenza vaccine.  Hand sanitisers are strategically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consists of a cross-section of staff from areas of the service.  The infection control and prevention officer has completed training via the Ryman annual infection control teleconference and has attended external education September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also has access to an infection prevention and control consultant, nurse specialist from the DHB, public health, GPs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orientation/induction package includes specific training around hand washing and standard precautions and training is provided both at orientation and as part of the annual training schedule.  Six sessions of infection control education were held over 2015 with 89 staff attending.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calendar.  Effective monitoring is the responsibility of the infection prevention and control officer who is a registered nurse.  An individual infection report form is completed for each infection.  Data is logged into an electronic system, which gives a monthly infection summary.  This summary is then discussed at the bimonthly combined health and safety, and infection prevention and control (IPC) meetings.  Six monthly comparative summaries of the data are completed and forwarded to head office.  All meetings held at Jane Mander include discussion on infection prevention control.  The IPC programme is incorporated into the internal audit programme.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in the dementia care unit December 2015, which was well managed and contained.  The service was commended on the way in which the outbreak was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policy in place states the organisations philosophy to restraint minimisation.  There is a documented definition of restraint and enablers, which is congruent with the definition in NZS 8134.0.  The policy identifies that restraint is used as a last resort.  On the day of audit there were four residents using enablers (bedrail).  There are 10 hospital residents with restraints (bedrails and chair briefs).  The resident files were reviewed where an enabler (bedrails) was in use.  Voluntary consent and an assessment process had been completed.  The enabler is linked to the resident’s care plan and is reviewed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for the facility and has defined responsibilities included the job description.  The restraint approval committee meet six monthly.  There is ongoing education including challenging behaviours.  Quality and clinical meetings include discussion on restraint.  Staff carry out and record restraint monitoring including cares delivered during the restraint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Ongoing consultation with the resident and family/whānau are evident.  A restraint assessment form was completed for the 10 residents requiring restraint (sighted).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evaluations occur three monthly as part of the ongoing reassessment for residents on the restraint register, and as part of their care plan review.  Families are included as part of this review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Ryman organisation is monitored regularly.  The review of restraint use is discussed at the approval group meetings and relevant facility meetings.  The organisation and facility are proactive in minimising restraint.  A comprehensive restraint education and training programme is in place, which includes restraint competencies.  Internal restraint audit completed in August 2015 achieved a 96% result.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3"/>
        <w:gridCol w:w="1280"/>
        <w:gridCol w:w="4140"/>
        <w:gridCol w:w="4522"/>
        <w:gridCol w:w="20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pressure and pulse, food and fluid charts, restraint monitoring, pain monitoring, blood sugar levels and behaviour charts.  Progress notes document changes in health and significant events.  Interventions for pain relief and challenging behaviours had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Four behaviour incidents within one week had not been recorded on the behaviour chart for one hospital resident. Although not recorded on a behavioural chart they were documented in the progress notes.  2) One rest home resident who had received controlled drugs for pain relief did not have the administration and effectiveness of pain relief recorded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behaviours are recorded on the behaviour chart. 2) Record in the progress notes when ‘as required’ pain relief is given and the effectiveness of the pain relief.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255"/>
        <w:gridCol w:w="7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provides a comprehensive induction programme that ensures healthcare assistants achieve foundations Level 2.  The progress of staff completing induction programmes is monitored and reported monthly to head office, as part of the Team Ryman programme.  The service has conducted a number of quality improvement projects where a review process has occurred, including analysis and reporting of findings. There is evidence of action taken based on findings that has made improvements to service provision. The projects include reviewing if the improvements have had positive impacts on resident safety or resident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Using staff feedback, Jane Mander created an improved and structured orientation process for new staff to ensure that they feel welcomed, supported, confident and competent in their role(s), including the introduction of a Dedicated Education Unit (DEU) for nursing staff in partnership with Northtec.  Jane Mander initiated and commenced the new induction process 1 November 2014.  An action plan was developed for the orientation process.  Orientation leaders/buddies were set up within all departments to ensure there is continual support and guidance for all new staff.  Education was provided for the orientation leaders/buddies on the expectations of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Induction statistics were reviewed 31 December 2014.  As at 1 December 2014, the percentage of all employee inductions at Jane Mander were completed as 100%, the percentage of overall inductions completed was 93%.  In the year 2015, the percentage of all employee inductions at Jane Mander completed within the specified timeframe was 100%, the percentage of overall inductions completed was 96%. </w:t>
            </w:r>
          </w:p>
          <w:p w:rsidR="00EB7645" w:rsidRPr="00BE00C7" w:rsidP="00BE00C7">
            <w:pPr>
              <w:pStyle w:val="OutcomeDescription"/>
              <w:spacing w:before="120" w:after="120"/>
              <w:rPr>
                <w:rFonts w:cs="Arial"/>
                <w:b w:val="0"/>
                <w:lang w:eastAsia="en-NZ"/>
              </w:rPr>
            </w:pPr>
            <w:r w:rsidRPr="00BE00C7">
              <w:rPr>
                <w:rFonts w:cs="Arial"/>
                <w:b w:val="0"/>
                <w:lang w:eastAsia="en-NZ"/>
              </w:rPr>
              <w:t>Outcomes of the new orientation process; Staff feel more confident and competent within their roles, staff feel supported by the entire team, improved team culture, induction completion rate improved.  Service provided to the residents is improved, resident satisfaction with care improved and there have been improved call bell responses.</w:t>
            </w:r>
          </w:p>
          <w:p w:rsidR="00EB7645" w:rsidRPr="00BE00C7" w:rsidP="00BE00C7">
            <w:pPr>
              <w:pStyle w:val="OutcomeDescription"/>
              <w:spacing w:before="120" w:after="120"/>
              <w:rPr>
                <w:rFonts w:cs="Arial"/>
                <w:b w:val="0"/>
                <w:lang w:eastAsia="en-NZ"/>
              </w:rPr>
            </w:pPr>
            <w:r w:rsidRPr="00BE00C7">
              <w:rPr>
                <w:rFonts w:cs="Arial"/>
                <w:b w:val="0"/>
                <w:lang w:eastAsia="en-NZ"/>
              </w:rPr>
              <w:t>On reviewing the Jane Mander induction process and statistics, Ryman rolled out nationally, the Ryman Induction Day Plan on 1 October 2015. The implementation of the DEU has had a positive impact on the improved resident and relative satisfaction with care provided and communication.  Comprehensive buddy checklist forms were developed and introduced along with induction day timetables.  All new staff taken through the induction process do not begin their job until the orientation plan has been completed and signed off.  Induction status is reviewed during monthly team meetings and is discussed at the monthly staff full-facility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there were some residents in the hospital unit that were at risk of isolation and a ‘village friends’ programme was introduced into the hospital unit in July 2014.  The Engage programme was implemented, that offered more variety and activities tailored to meet the needs of groups and individuals.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townhouse/serviced apartment residents (including five men) developed a roster to visit hospital residents twice weekly.  One resident is the village friend’s coordinator and meets regularly with the activities coordinator to discuss activities and residents who will benefit from one-on-one time.  Village friends are involved in activities such as hand massages, singing, flower arranging, reading, entertaining, discussions and chats with residents.  Men enjoy having other men around to chat and do ‘bloke stuff’ with.  Male volunteers are actively involved with the men’s group.  The village friends have a roster of volunteers available to provide companionship and reassurance for residents who are in palliative care and provide support for the families. The village friends have a rapport with the residents and their families that strengthen the feeling of family and community. The initiative has been so successful the village friends now visit residents in the rest home since November 2014, and weekly in the dementia unit since March 2015. There has been an increase in resident satisfaction around activities as evidenced in the February 2015 survey results.  The service identified the increased satisfaction is due to the improved Engage activities programme which includes the village friends and men’s group initiative.  All residents and relatives interviewed on the day of audit confirmed their satisfaction with the activities and the one-on-one companionship provided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was commenced in January 2015 to increase resident and relative satisfaction with laundry services.  Missing/lost clothing items had been identified as a resident/relative concern in resident surveys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was provided with individually labelled laundry bags for their personal clothing.  The purple resident clothing bags were seen in resident ensuites.  The organisation purchased a labelling machine and recruited for a new laundry shift whose responsibility is to label all resident personal items on admission and as required.  All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 results for February 2015 evidenced increased satisfaction with the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Resident/relative interviews on the day of audit confirmed there has been a marked reduction in the number of personal clothing lost or missing and they were very satisfied with the laundry service.  The implementation of a laundry labeller system and individualised clothing bags per resident has reduced the amount of missing/lost items of personal clothing.  Photos were taken before the project and at the conclusion of the project, evidenced successful implementation of the use of the labelling machine.  A visit to the laundry on the day of audit demonstrated evidence of the system being implemented with a small amount of clothing un-named.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Jane Mander Retirement Village Limited - Jane Mander Retirement Village</w:t>
    </w:r>
    <w:bookmarkEnd w:id="58"/>
    <w:r>
      <w:rPr>
        <w:rFonts w:cs="Arial"/>
        <w:sz w:val="16"/>
        <w:szCs w:val="20"/>
      </w:rPr>
      <w:tab/>
      <w:t xml:space="preserve">Date of Audit: </w:t>
    </w:r>
    <w:bookmarkStart w:id="59" w:name="AuditStartDate1"/>
    <w:r>
      <w:rPr>
        <w:rFonts w:cs="Arial"/>
        <w:sz w:val="16"/>
        <w:szCs w:val="20"/>
      </w:rPr>
      <w:t>5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