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Amberlea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Amberlea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2016</w:t>
      </w:r>
      <w:bookmarkEnd w:id="7"/>
      <w:r w:rsidRPr="009418D4">
        <w:rPr>
          <w:rFonts w:cs="Arial"/>
        </w:rPr>
        <w:tab/>
        <w:t xml:space="preserve">End date: </w:t>
      </w:r>
      <w:bookmarkStart w:id="8" w:name="AuditEndDate"/>
      <w:r w:rsidR="00A4268A">
        <w:rPr>
          <w:rFonts w:cs="Arial"/>
        </w:rPr>
        <w:t>20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Amberlea is owned and operated by the CHT Healthcare Trust.  The service provides care for up to 72 residents requiring hospital/medical and rest home level care.  On the day of the audit, there were 69 residents.  The service is overseen by a unit manager, who is well qualified and experienced for the role and is supported by a clinical coordinator and the area manager.  Residents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This audit has identified areas requiring improvement around meeting minutes, incident reporting for pressure injuries, staff reference checks, staff orientations, GP initial assessments, aspects of medication management and care interventions.</w:t>
        <w:tab/>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Amberlea strive to ensure that care is provided in a way that focuses on the individual, values residents' autonomy and maintains their privacy and choice.  The service functions in a way that complies with the Health and Disability Commissioner’s Code of Consumers’ Rights (the Code).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unit manager is supported by the area manager, a clinical coordinator, registered nurses and healthcare staff.  The quality and risk management programme includes service philosophy, goals and a quality planner.  Quality activities are conducted and this generates improvements in practice and service delivery.  Resident meetings have been held and residents and families are surveyed annually.  Health and safety policies, systems and processes are implemented to manage risk.  A registered nurse follows up incidents and accidents that are reported.  A comprehensive education and training programme has been implemented with a current training plan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coordinator manages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  Care plans are based on the InterRAI findings and other assessments.  Residents and relatives interviewed confirmed they were involved in the care planning and review process.  The general practitioner reviews the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integrated programme is offered in lounges throughout the facility and meets the individual recreational preferences and abilities of both groups of residents.     </w:t>
      </w:r>
    </w:p>
    <w:p w:rsidRPr="00A4268A" w:rsidP="00621629">
      <w:pPr>
        <w:spacing w:before="240" w:line="276" w:lineRule="auto"/>
        <w:rPr>
          <w:rFonts w:eastAsia="Calibri"/>
        </w:rPr>
      </w:pPr>
      <w:r w:rsidRPr="00A4268A">
        <w:rPr>
          <w:rFonts w:eastAsia="Calibri"/>
        </w:rPr>
        <w:t>Medicines are stored and managed appropriately in line with legislation and guidelines.  Staff responsible for the administration of medications attend annual medication education.  General practitioners review residents’ medications at least three monthly.</w:t>
      </w:r>
    </w:p>
    <w:p w:rsidRPr="00A4268A" w:rsidP="00621629">
      <w:pPr>
        <w:spacing w:before="240" w:line="276" w:lineRule="auto"/>
        <w:rPr>
          <w:rFonts w:eastAsia="Calibri"/>
        </w:rPr>
      </w:pPr>
      <w:r w:rsidRPr="00A4268A">
        <w:rPr>
          <w:rFonts w:eastAsia="Calibri"/>
        </w:rPr>
        <w:t xml:space="preserve">Meals are prepared on site by a contracted agency under the direction of a dietitian.  The menu is varied and appropriate.  Individual and special dietary needs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Reactive and planned maintenance is in place.  Chemicals are stored safely throughout the facility.  All bedrooms are single occupancy and all have their own toilet and hand basin and some with full ensuites.  There are adequate numbers of communal toilets and showers.  There is sufficient space to allow the safe movement of residents around the facility using mobility aids.  There are communal dining rooms and lounges in the three wings.  The internal areas are able to be ventilated and heated.  The outdoor areas are safe and easily accessible.  Cleaning and laundry contractors are providing appropriate services.  Emergency systems and equipment are in place in the event of a fire or external disaster.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Amberlea hospital has restraint minimisation and safe practice policies and procedures in place.  Staff receive training in restraint minimisation and challenging behaviour management.  On the day of audit, there were no residents with restraint and two residents with an enabler.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 surveillance aspect of the programme has been recently implemented.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beginning to be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9"/>
        <w:gridCol w:w="1280"/>
        <w:gridCol w:w="9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healthcare assistants, three registered nurses (RN), two activities staff, one clinical coordinator, one area manager and one unit manager) confirm their familiarity with the Code.  Interviews with ten (six rest home and four hospital) residents and four families (three hospital and one rest home) confirm the services being provided are in line with the Code.  The Code is discussed at resident and quality/health and safety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Copies of EPOA are held on resident files where appropriate.  Cardiopulmonary resuscitation status is evident in the nine resident files reviewed (five hospital and four rest home).  There is evidence of discussion with family when the GP has completed a clinically indicated not for resuscitation order.  Health care assistants and registered nurses interviewed confirmed verbal consent is obtained when delivering care.  Family members confirmed they were involved in decisions that affect their relative’s lives.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and family members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Twelve complaint forms were reviewed (since April 2015).  All 12 complaints reviewed had noted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The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Church services are conducted in the facility regularly.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around recognising abuse and neglect and staff interviewed were conversant around this.  There have been no reported incidents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One resident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to help meet the cultural needs of its residents.  All residents interviewed reported that they were satisfied that their cultural and individual values were being met.  </w:t>
              <w:b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Staffing policies include pre-employment and the requirement to attend orientation and ongoing in-service training.  The resident satisfaction survey reflects high levels of satisfaction with the services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reviewed (a sample from April 2016).  The forms included a section to record family notification.  All ten forms indicated family were informed or if family did not wish to be informed.  Residents and family members interviewed confirmed that relatives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over the communication methods used to provide information to new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Amberlea hospital is owned and operated by the CHT Healthcare Trust.  The service provides hospital/medical and rest home level care for up to 72 residents.  On the day of the audit, there were 69 residents.  This includes 27 rest home level residents and 42 hospital level residents.  All residents are under the aged related residential care contract.  All rooms are dual purpose.  The unit manager is a registered nurse and maintains an annual practicing certificate.  She has been at Amberlea for three years and in the unit manager role for 18 months.  The clinical coordinator has been in the role for 28 months.  The unit manager reports to the area manager weekly on a variety of operational issues.  CHT has an overall business/strategic plan and Amberlea has a facility quality and risk management programme in place for the current year.  The organisation has a philosophy of care, which includes a mission statement.  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Amberlea.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with a draft policy including InterRAI assessment requirements.  Staff have access to manuals.  Resident/relative meetings are held quarterly.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There is evidence of comprehensive data analysis for falls and UTIs and data analysis at an organisational level that is provided to the facility for other incidents and infections.  Quality/health and safety meetings (attended by all staff) document the numbers of types of incidents for the period but no discussion around trend analysis.  The area manager completed a comprehensive internal audit in March 2016 covering all aspects of the service.  Following this a number of corrective action plans were developed, all of which have been actioned and implemented.  The service has a health and safety management system.  There are implemented risk management, and health and safety policies and procedures in place including accident and hazard management.  Residents are surveyed to gather feedback on the service provided and the outcomes are communicated to residents, staff and families.  Results for the 2015 survey reflected satisfaction with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manager and clinical coordinator investigate accidents and near misses and analysis of incident trends occurs. A registered nurse conducts clinical follow up of residents.  Ten incident forms sampled from April 2016 included appropriate follow-up by a registered nurse and investigation of incidents to identify areas to minimise the risk of recurrence.  However, pressure injuries had not been reported on incident forms.  Incidents/accidents are collected for data analysis (link 1.2.3.6).  Discussions with the unit manager confirmed that there is an awareness of the requirement to notify relevant authorities in relation to essential notifications.  Appropriate notifications have been made to HealthCERT and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be completed to validate the individual’s qualifications, experience and veracity.  A copy of practising certificates is kept.  Seven staff files were reviewed (the clinical coordinator, the activities coordinator, one registered nurse and three healthcare assistants) and these evidence appropriate employment practices except that that reference checks were not always completed before employment is offered.  The service has a comprehensive orientation programme in place that provides new staff with relevant information for safe work practice.  Not all staff files sampled had completed orientations documented.  The in-service education programme for 2015 has been completed and a plan for 2016 is being implemented.  The unit manager and registered nurses are able to attend external training, including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one registered nurse is on duty at any one time.  Senior staff on each shift is aware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coordinator screens all potential residents prior to entry to ensure the service can meet the residents assessed needs.  The admission agreement aligns with the requirements of the ARCC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The RN on duty checks medications delivered against the medication chart.  Registered nurses and medication competent HCAs administer medications.  Not all RNs have completed medication competencies annually.  Medications are stored correctly.  The medication fridge is monitored daily.  All eye drops had been dated on opening.  There were no residents self-medicating on the day of audit.  Standing orders are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Medication charts are pharmacy generated and met the legislative requirements.  All medication charts had been reviewed at least three monthly by the GP.  A review of administration charts identified three medications had not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by contracted kitchen staff.  The kitchen manager (qualified cook), is supported by another cook and kitchen hand on duty each day.  The contracted dietitian, in consultation with the CHT dietitian, has reviewed the menu.  A resident nutritional profile is developed for each resident on admission and provided to the kitchen manager.  Dietary needs including modified meals are accommodated.  Special diets include gluten free and REAP fortified foods.  The kitchen manager (interviewed) was able to describe alternative meals offered for residents with dislikes and the Replenish Energy and Protein (REAP) programme for weight loss.  Resident likes and dislikes are known.  Meals are plated from the bain marie in the main kitchen and delivered in hot boxes to the dining/kitchenette area in each of the three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completed food safety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and freezers in the main kitchen are monitored and recorded.  Each wing has a functioning kitchenette with dishwasher and fridge.  Temperatures have not been monitored for the kitchenette fridges.  Temperatures are monitored on inward chilled goods.  End cooked temperatures are monitored for each meal.  All dry goods were dated, in sealed containers and stored off the floor.  All perishable foods in the main kitchen and kitchenette fridges were dated.  A cleaning schedule has been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and have the opportunity to feedback on the service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InterRAI assessments including risk assessments are completed on admission.  Overall the outcomes of assessments were reflected in the long-term care plans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did not all describe the support required to meet the resident’s goals and needs as identified through the assessment process (link 1.3.6.1).  Residents and relatives confirmed they were involved in the care planning and review process.  There is documented evidence of resident/relative involvement in the development of care plans.  Short-term care plans were in use for changes in health status.  Care staff interviewed reported the care plans are readily available and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coordinator) and HCAs, follow the care plan and report progress against the care plan at each shift at handover.  Care plans reviewed did not all document interventions for the management of hypoglycaemia/hyperglycaemia where these were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Turning charts, food and fluid charts and behaviour monitoring charts were available.  Evidence was missing for some required weight monitoring.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resident’s health changes the RN initiates a GP or nurse specialist consultation or allied health advice.  If external medical/specialist advice is required, this will be initiated by the GP.  The residents interviewed state the support received meets their expectations.  Relatives interviewed confirmed the care of their relatives meet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were sighted.  Resident files include a continence assessment and plan as applicable.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dressing supplies.  Wound assessments, wound management plans and wound evaluations were in place for 12 minor wounds including skin tears.  There were six pressure injuries (two community acquired) being treated on the day of audit.  Wound care documentation does not reflect the current status of the pressure injuries.  Not all pressure injuries had wound assessments completed.  The RNs have access to specialist nursing wound care management advice through the district health board (DHB).  Appropriate pressure injury interventions were documented in the care plans of residents identified as high risk of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coordinators employed for a total of 53 hours per week.  An HCA is employed for 4 hours per week to provide music therapy.  The CHT diversional therapist oversees and supports the activity team.  The activity coordinators attend regional workshops.  They attend on-site education; have current first aid certificates and hold have completed aged care education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provided Monday to Sunday and activities occur in lounges upstairs and downstairs.  The activities provided meet the recreational preferences and abilities of the resident groups and include art and crafts, exercises, walks, ‘brain fit’ programme and sensory activities.  Activities reflect ordinary patterns of life and include planned visits into the community such as shopping, cafes, picnics and the RSA.  Volunteers are involved in the activity programme with piano playing, music, and arts and crafts weekly.  An interactive project is an ongoing mural using a number of textures and designs.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groups visits twice monthly to provide church services and fellowship.  One-on-one time is spent with residents who choose not to or are unable to participate in group activities.  A hired van is used for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Each resident/family had completed a lifestyle questionnaire.  The individual activities assessment is incorporated into the InterRAI assessment process and written-up in the overall care plan that is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commented they have the opportunity to provide suggestions for activities through the resident meetings and surveys.  They commend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Evaluations are documented.  Changes in health status are updated on the care plan.  Evaluations record if the resident goals have been met or unmet.  Six monthly reassessments have been completed by RNs using InterRAI LTCF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and product sheets were available.  Relevant staff have completed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27 May 2016.  The facility is a two level building with lift and stair access.  There is a part time maintenance person who completes the monthly planned maintenance schedule for the internal and external building.  Maintenance requests are recorded and addressed.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is tested and tagged two yearly.  Clinical equipment is checked and calibrated annually.  Hot water temperatures are monitored in each wing and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There is sufficient space in communal areas for residents to be safely seated in hospital lounge chairs.  External areas including grounds and deck areas are well maintained and easily accessible.  External areas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on the first floor have their own toilet and hand basin.  There are adequate communal showers with vacant/engaged signs and privacy curtains.  All resident rooms on the ground floor have full ensuites.  There are an adequate number of communal toilets near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dual purpose and allow for the provision of hospital level care including the safe use and manoeuvring of mobility aids and hoists within the room.  Residents are encouraged to personalise their bedrooms as viewed on the day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a large main open plan lounge and dining/kitchenette area.  Each wing has a smaller dining/lounge area with functional kitchenette.  The upstairs and downstairs lounges are used for activities.  Several seating alcoves and lounges provide residents with a relaxing view of the bay.  Residents commented positively on the environment.  Communal rooms are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with the exception of woollens and delicates are laundered off site.  Dirty laundry is collected daily through a designated exit point with daily delivery of the clean laundry and clothing.  A laundry project has been implemented to reduce the number of lost clothing and bedding.  Residents interviewed were satisfied with the laundering and timely return of their clothing.  Two cleaners are contracted by an external provider Monday to Friday and one on the weekends.  The cleaning trolleys were well equipped and stored in designated locked cleaner’s cupboards.  The staff have access to a range of chemicals, cleaning equipment and protective clothing. The chemical provider monitors the use and effectiveness of laundry and cleaning chemicals.  The facility was well maintained and clean on the days of audit.  Residents interviewed were satisfied with the cleanliness of their rooms and environment.  The standard of cleanliness and laundry process is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was reviewed and approved by the fire service 31 January 2014, following building alterations.  There are emergency management plans in place to ensure health, civil defence and other emergencies are included.  Six monthly fire evacuation practice documentation was sighted last February 2016.  Fire training and security situations are part of orientation of new staff and include competency assessments.  There are adequate supplies in the event of a civil defence emergency including food, water and gas cooking (two barbeques).  A generator is supplied through a contracted service when required.  A minimum of one person trained in first aid and cardiopulmonary resuscitation (CPR)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bathrooms/toilets and lounge/dining room areas.  Residents were observed to have their call bells in close proximity.  The call bells are connected to walkie-talkies that staff carry.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secure afterhours with doorbell access at the main entrance and keypad access to the back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The facility has underfloor heating with individual thermostats in resident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Amberlea hospital has an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Amberlea hospital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notified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  The service has exceeded the standard around improving outcomes for a group of vulnerable residents identified in surveillance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three residents with an enabler.  Enabler use is voluntary.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quality/health and safety meetings.  A 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3884"/>
        <w:gridCol w:w="4308"/>
        <w:gridCol w:w="2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Quality/health and safety meetings minutes (which are attended by all staff) reflect that previous issues are addressed and that complaints, falls and infection trends are discussed.  The minutes do not reflect discussion around data analysis outcomes for incidents/accidents.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Quality/health and safety meeting minutes document numbers of incidents by type for the period but no discussion around the trends or data analysis.  Health care assistants confirmed this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service providers are informed of the results of accident/incident data analysis and evaluations.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Incidents/accidents are collected for data analysis (link 1.2.3.6).  When a pressure injury occurs, the registered nurse completes a pressure injury report form.  These forms are not included in incident data and pressure injuries have not been reported as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current pressure injuries and two healed pressure injuries identified had not been included in the incident reporting system or incident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pressure injuries are captured as incidents and included in incident data analysis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staff files were sampled.  Each of the files contained an employment contract, police checks, interview documentation, an application, and a position description.  Five of the staff files sampled contained a reference check.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seven staff files sampled did not contain a documented reference check.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reference check is completed and documented for all new staff employed.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Amberlea has a comprehensive orientation programme and new staff are ‘buddied’ prior to demonstrating competencies to work unsupervised.  Complete orientation documentation was sighted in two of seven staff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staff files sampled did not have a documented orientation and a further two files did not have the orientation documentation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new staff completes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and corresponding signing administration forms were reviewed.  Fifteen signing sheets evidenced medication was given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medications for three residents had not been administered as prescribed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are administered as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medication competencies are required to be completed annually by all RNs and some senior HCAs.  All HCAs administering medications have completed an annual competency.  Not all RNs have completed their annual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RNs have not completed annual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RNs complete medication competencies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wing has a kitchenette in the open plan dining/lounge areas.  Meals are served from a bain-marie.  There is a dishwasher, fridge, tea making facilities and food items available.  Fluids and protein drinks are delivered to the fridges daily.  The fridge temperatures have not been monitored in the kitchenettes.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kitchenette fridges contain resident food items, perishable goods and protein drinks.  There was no evidence of temperature monitoring for these fridges.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fridges containing resident foods and perishable goods have temperatures monitored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 files (five hospital and four rest home) were reviewed.  Registered nurses (RN) had completed initial assessments and initial care plans within 24 hours of admission in all resident files reviewed.  InterRAI assessments and long-term care plans were completed within 21 days of admission.  Long-term care plans reviewed were evaluated at least six monthly or earlier as required due to health changes  In seven of nine resident files reviewed, the GP had completed admission visits within the required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(one hospital and one rest home) did not evidence GP admission visits within two working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GP admission visits occur within two working days.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REAP (replenish, energy and protein) food fortification programme to manage weight loss.  Residents at risk of weight loss or losing weight are commenced on the programme.  Weight loss reports monitor the resident’s progress.  Not all weights are monitored as instructed in the care plans.  All minor wounds have individual wound assessments and evaluations in place.  Not all pressure injuries have wound assessments and evaluations in place.  Care plans reviewed documented interventions for all required issues but did not contain detail around the management of hyper and hypo glycaemia.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Weights had not been completed at the required frequency documented in care plans for three residents (two rest home and one hospital resident).  There was no weight loss report for one rest home resident commenced on REAP.  2) The weight loss report has not been updated for one hospital resident to reflect recent weight loss.  3) There are no documented interventions for the management of hypoglycaemia and hyperglycaemia for one rest home resident on insulin.  4) One hospital resident with three pressure injuries does not have wound assessments and evaluations for each pressure injury.  There is no wound assessment for one pressure injury for the same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weight monitoring is completed as documented in the care plans.  2) Ensure weight loss reports are implemented/reviewed to reflect the resident’s nutritional status.  3) Document interventions for the management of hypoglycaemia and hyperglycaemia, for insulin dependent residents.  4) Ensure each pressure injury has individual wound assessments and wound evaluations.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6"/>
        <w:gridCol w:w="1280"/>
        <w:gridCol w:w="2640"/>
        <w:gridCol w:w="74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 that staff finds common areas of interest to engage residents in communication.  They report that information provided to them is careful and clearly explained in a manner that is appropriate to their comprehension.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a complaint in 2015, the service determined that while all required information was being provided to new residents and their families, some of this was not easy to refer back to.  They implemented a quality plan to better meet the information needs of new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A new welcome pack was designed in simple, conversation style language in an easy to read format, as an induction and orientation resource and something residents and families can keep and use as a reference in the first few weeks they are in residence.  The intention was to ease the transition into residential care, to allay fears and anxiety associated with the unknown.</w:t>
            </w:r>
          </w:p>
          <w:p w:rsidR="00EB7645" w:rsidRPr="00BE00C7" w:rsidP="00BE00C7">
            <w:pPr>
              <w:pStyle w:val="OutcomeDescription"/>
              <w:spacing w:before="120" w:after="120"/>
              <w:rPr>
                <w:rFonts w:cs="Arial"/>
                <w:b w:val="0"/>
                <w:lang w:eastAsia="en-NZ"/>
              </w:rPr>
            </w:pPr>
            <w:r w:rsidRPr="00BE00C7">
              <w:rPr>
                <w:rFonts w:cs="Arial"/>
                <w:b w:val="0"/>
                <w:lang w:eastAsia="en-NZ"/>
              </w:rPr>
              <w:t>Following the introduction of the booklet in June 2015 survey results for families and residents show an increase in all ‘personal issue’ areas, particularly staff keeping them informed, helpfulness of staff arranging services and explanation of fees and charges.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infection data is collected and analysed to identify trends and where trends are identified, actions are implemented to address the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June 2015, the service identified through infection surveillance data that a group of five residents were experiencing recurrent UTIs.  Staff and management researched potential interventions and a bladder support programme was introduced for these residents that included a PowerPoint presentation and in-service class being written by a registered nurse and the clinical coordinator, to support the programme and educate all care staff.  A comprehensive algorithm was designed for the skilled nursing staff to follow, detailing the course of treatment once a urinalysis dipstick indicates probable UTI.  Consent from the residents &amp; their family was obtained and the contracted physician is supportive of the programme and does the prescribing.</w:t>
            </w:r>
          </w:p>
          <w:p w:rsidR="00EB7645" w:rsidRPr="00BE00C7" w:rsidP="00BE00C7">
            <w:pPr>
              <w:pStyle w:val="OutcomeDescription"/>
              <w:spacing w:before="120" w:after="120"/>
              <w:rPr>
                <w:rFonts w:cs="Arial"/>
                <w:b w:val="0"/>
                <w:lang w:eastAsia="en-NZ"/>
              </w:rPr>
            </w:pPr>
            <w:r w:rsidRPr="00BE00C7">
              <w:rPr>
                <w:rFonts w:cs="Arial"/>
                <w:b w:val="0"/>
                <w:lang w:eastAsia="en-NZ"/>
              </w:rPr>
              <w:t>Prior to the introduction of the initiative, the five residents had experienced 21 UTIs collectively in the previous five months.  These five residents have had four UTIs (between them) in the seven months since the programme commenced.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Amberlea Hospital and Rest Home</w:t>
    </w:r>
    <w:bookmarkEnd w:id="58"/>
    <w:r>
      <w:rPr>
        <w:rFonts w:cs="Arial"/>
        <w:sz w:val="16"/>
        <w:szCs w:val="20"/>
      </w:rPr>
      <w:tab/>
      <w:t xml:space="preserve">Date of Audit: </w:t>
    </w:r>
    <w:bookmarkStart w:id="59" w:name="AuditStartDate1"/>
    <w:r>
      <w:rPr>
        <w:rFonts w:cs="Arial"/>
        <w:sz w:val="16"/>
        <w:szCs w:val="20"/>
      </w:rPr>
      <w:t>20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