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Capital Residential Care Limited - Ocean View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Capital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Ocean View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April 2016</w:t>
      </w:r>
      <w:bookmarkEnd w:id="7"/>
      <w:r w:rsidRPr="009418D4">
        <w:rPr>
          <w:rFonts w:cs="Arial"/>
        </w:rPr>
        <w:tab/>
        <w:t xml:space="preserve">End date: </w:t>
      </w:r>
      <w:bookmarkStart w:id="8" w:name="AuditEndDate"/>
      <w:r w:rsidR="00A4268A">
        <w:rPr>
          <w:rFonts w:cs="Arial"/>
        </w:rPr>
        <w:t>4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18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Ocean View is owned and operated by Capital Residential Care Limited and cares for up to 20 residents requiring rest home level care.  On the day of the audit, there were 18 residents.  </w:t>
      </w:r>
    </w:p>
    <w:p w:rsidRPr="00A4268A">
      <w:pPr>
        <w:spacing w:before="240" w:line="276" w:lineRule="auto"/>
        <w:rPr>
          <w:rFonts w:eastAsia="Calibri"/>
        </w:rPr>
      </w:pPr>
      <w:r w:rsidRPr="00A4268A">
        <w:rPr>
          <w:rFonts w:eastAsia="Calibri"/>
        </w:rPr>
        <w:t xml:space="preserve">The service is overseen by a facility manager, who is a registered nurse with management experience in community based services and aged care services.  The facility manager has been in the role for twelve months and is supported by a clinical nurse manager (RN) with many years aged care experience, who has been in the role for fourteen months.  </w:t>
      </w:r>
    </w:p>
    <w:p w:rsidRPr="00A4268A">
      <w:pPr>
        <w:spacing w:before="240" w:line="276" w:lineRule="auto"/>
        <w:rPr>
          <w:rFonts w:eastAsia="Calibri"/>
        </w:rPr>
      </w:pPr>
      <w:r w:rsidRPr="00A4268A">
        <w:rPr>
          <w:rFonts w:eastAsia="Calibri"/>
        </w:rPr>
        <w:t>Residents and the GP interviewed spoke positively about the service provided.</w:t>
      </w:r>
    </w:p>
    <w:p w:rsidRPr="00A4268A">
      <w:pPr>
        <w:spacing w:before="240" w:line="276" w:lineRule="auto"/>
        <w:rPr>
          <w:rFonts w:eastAsia="Calibri"/>
        </w:rPr>
      </w:pP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br/>
        <w:t xml:space="preserve">This audit has identified the following areas requiring improvement; management of cultural safety, policies and procedures, internal audits, corrective action plans and meetings,  management of risks, job descriptions, staff training, performance appraisals, the admission agreement, falls management,  testing and tagging of the chair lift, maintenance and annual review of the infection control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at Ocean View strive to ensure that care is provided in a way that focuses on the individual, values residents' autonomy and maintains their privacy and choice.  The service functions in a way that complies with the Health and Disability Commissioner’s Code of Consumers’ Rights.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planned to generate improvements in practice and service delivery.  Residents/family meetings have been held and residents and families are surveyed annually.  There are Health and safety policies documented to manage risk.  Incidents and accidents are reported and followed through.  An education and training programme has been developed with a current training plan in place.  There are documented employment processes.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 three 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An integrated activities programme is implemented for all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and baking is done on site.  All residents' nutritional needs are identified and documented on admission.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which expires 2 June 2016.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Ocean View has restraint minimisation and safe practice policies and procedures in place.  On the day of audit, there was one resident with two restraints and no residents using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8"/>
        <w:gridCol w:w="1280"/>
        <w:gridCol w:w="9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(two caregivers, one activities coordinator, one clinical nurse manager (RN), one registered nurse and one facility manager) confirm their familiarity with the Code.  Interviews with five residents and three families confirm the services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Five resident files sampled demonstrated that advanced directives are signed-for separately.  There is evidence of discussion with family/whānau when the GP has completed a clinically indicated not for resuscitation order.  Caregivers and the registered nurse interviewed confirmed verbal consent is obtained when delivering care.  Family members are involved in decisions that affect their relative’s lives.  All resident files sampled had a signed admission agreement signed on or before the day of admission and consents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have not received training on advocacy in past two years (link 1.2.7.5).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their family/whānau and friend’s networks.  On interview, all staff stated that residents are encouraged to build and maintain relationships.  All residents interviewed confirmed that family/whānau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Verbal and written complaints are documented.  There have been four documented complaints since May 2014.  All complaint documentation was reviewed.  All complaints had noted investigation, timeframes, corrective actions when required and resolutions were in place if required.  Results are fed back to complainants.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facility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Staff were observed to be respectful of residents’ personal privacy by knocking on doors prior to entering resident rooms during the audit.  The residents interviewed confirmed staff respect their privacy, and support residents in making choice where able.  Resident files are stored securely.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involves residents in decisions about their care, respects their rights and maintains privacy and individuality.  Resident preferences are identified during the admission and care planning process with family/whānau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encourages residents to have choices and this includes voluntary participation in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Five resident files reviewed identified that cultural and/or spiritual values and individual preferences are identified on admission and integrated with the residents' care plan.  Interviews with residents confirm their values and beliefs are considered.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 View does not have a documented Māori health plan that includes a description of how staff will achieve the requirements set out in A3.1 (a) to (e) of the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and spiritual awareness policy is documented to guide practice but this does not include recognition of Māori values and beliefs and does not identify culturally safe practices for Māori.  The staff member who acted as the cultural advisor has recently left the organisation and this role had not been replaced at the time of audit.  Staff interviewed were unable to describe their links to local Iwi or how they would ensure Māori values and beliefs are met.  Staff have not had training in Cultural Safety in the past two years (link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and visiting is encouraged.  At the time of audit, two residents identified as Māori.  The resident’s values and beliefs were not documented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Not all residents had their beliefs or values incorporated into the care plan (link 1.1.4.3).  Six monthly reviews occur to assess if needs are being met.  Discussion with relatives and residents confirm values and beliefs are considered.  Residents are supported to attend church services of their choice.  Spiritual visitors spend time with residents who wish to have prayers/bible readings.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clinical nurse manager and registered nurse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However not all the required polices were documented or, where documented, the policies did not all align with the health and disability services standards, for residents with aged care needs or legislative requirements (link 1.1.4.3. and 1.2.3.3).  There is an education planner in place (link 1.2.7.5).  There are handovers between shifts.  Registered nurse care guidelines are available.  Allied health professionals are available to provide input into resident care for example dietitian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caregivers and registered nurses.  The clinical nurse manager and facility manager have access to external training.  Discussions with residents and family were positive about the care they receive.  Interview with caregivers informed they are well supported by the clinical nurse manager and facility manager who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Residents interviewed spoke positively about the care and support provided.  Staff interviewed had a good understanding of the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family/whānau of any accident/incident and ensure full and frank open disclosure occurs.  Seven incidents/accidents forms were reviewed.  The forms included a section to record family/whānau notification.  All forms indicated family/whānau were informed or if family/whānau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 View is owned and operated by Capital Residential Care Limited.  The service provides rest home care for up to 20 residents.  On the day of the audit, there were 18 rest home level care residents.  This includes one resident admitted under Accident Compensation Corporation (ACC).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who maintains an annual practicing certificate.  The facility manager has been in the role for twelve months and advised on the day of audit that this was their last week in the role.  No information was available regarding filling the vacant position.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reports to the owners of the company weekly on a variety of operational issues.  A clinical nurse manager with seven years aged care experience in New Zealand has been at the facility for fourteen months.  The facility manager and the clinical nurse manager have completed in excess of eight hours of professional development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 View has a 2016-2017 strategic business plan that includes the home mission statement and philosophy of care.  Annual goals relate to residents, staff, quality assurance, risk management and financial goals.  The business plan is reviewed each year in August.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nurse manager is in charge with support from the owners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 View has a business/strategic plan that includes quality goals.  There is an internal audit programme, however not all scheduled monitoring has been completed.  Corrective actions are not always documented where internal audits identify opportunities for improvements and the facility manager does not always sign off corrective action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includes an internal audit programme and data collection, analyses and review of adverse events including accidents, incidents, infections, wounds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have a documented meeting schedule however, the facility manager advised that bi-monthly staff and resident meetings are required.  Quality/staff and resident meetings have not consistently been held.  Audit findings and information about corrective actions has not always been communicated to the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use is an agenda item at the quality/staff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however, the outcome of the 2016 resident satisfaction survey was not communicated to staff.  The 2016 resident survey indicated satisfaction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system in place including policies to guide practice.  There is a current hazard register, which was last reviewed in March 2016.  Not all hazards are documented on the register and not all hazards have interventions documented to manage the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analysis of incident trends occurs.  There is a discussion of incidents/accidents at quality/staff meetings.  The clinical manager conducts clinical follow-up of residents.  Seven incident forms sampled (from a sample of resident files) demonstrated that appropriate clinical follow-up and investigation occurred following incidents.  Discussions with the facility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be completed to validate the individual’s qualifications, experience and veracity.  A copy of practising certificates is kept.  Six staff files were reviewed (clinical nurse manager, one enrolled nurse, two caregivers, one cook and one activities officer) and evidence that reference checks were completed before employment was included.  The service has an orientation programme in place that provides new staff with relevant information for safe work practice.  There was no education planner available for 2015 to 2016.  The in-service education programme for 2016 has been documented and implemented.  However not all education required under the ARRC agreement has been delivered in the past two years.  The facility manager and clinical nurse manager are able to attend external training, including sessions provided by the local DHB.  The clinical nurse manager and facility manager have completed InterRAI training.  Annual staff appraisals and job descriptions were not all evident in all the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 View has a policy for staff rationale.  An enrolled nurse and clinical nurse manager (RN) are rostered on Monday to Friday and the facility manager and clinical manager share after hours call.  There are two staff on morning and afternoon shift and one on overnight, in addition to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clinical manager cover the on call and provide cover for each other for periods of leave.  The after-hours medical centre also provides back up for RN cover in times of sickness or emergencies.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Informed consent to display photographs is obtained from residents/family/whānau on admission.  Other residents or members of the public cannot view sensitive resident information.  Entries in records are legible, dated and signed by the relevant caregiver, enrolled nurse or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entry to services, including a comprehensive admission policy.  Information gathered on admission is retained in residents’ records.  Relatives interviewed stated they were well informed upon admission.  The service has an information pack available for residents/families/EPOA at entry.  The admission agreement reviewed does not align with the Aged Related Residential Care (ARRC) agreement; however, the five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clinical nurse manager and facility manager checks all medications on delivery against the medication chart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responsible for the administering of medications have completed annual medication competencies and annual medication education.  The standing orders have been approved by the GPs annually and meet the legislative requirements for standing orders.  There was one self-medicating resident on the day of audit.  A self-medicating competency, three monthly reviews and monitoring were in place.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Photo identification and allergy status were on all ten charts.  All medication charts had been reviewed by the GP at least three monthly.  Ten resident medication administration-signing sheets corresponded with the medication chart.  The service is in the process of initiating an electronic medication administration and management system.  This was due to be implemented the week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oversees the food services.  An external dietitian has approved the menu.  All baking and meals are cooked on-site in the main kitchen.  Meals are served directly to the residents in the adjacent dining room.  The cook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for each meal daily.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residents/family/EPOA.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the InterRAI assessment tools had been used for the residents admitted under the ARRC agreement.  A nursing assessment and care plan were completed on admission.  As well as using InterRAI assessments, the resident files also included a full range of paper-based assessments to assist with resident care planning.  Files reviewed identified that risk assessments have been completed on admission and reviewed six monthly as part of the evaluation.  Additional assessments for management of behaviour, wound care and restraint were completed according to need.  However, two residents assessed as high falls risk did not have falls prevention strategies included in the care plan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All resident care plans sampled were resident centred however not all support needs and interventions were documented (link 1.3.6.1).  Residents and family members interviewed confirm they are involved in the development and review of care plans.  Care plans were amended to reflect changes in health status and were reviewed on a regular basis.  Short-term care plans were in use for changes in health status and were evaluated on a regular basis and signed off as resolved or transferred to the long-term care plan.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care plans reviewed included interventions that reflected the resident’s current needs.  However, there is a lack of interventions around falls prevention included in the long-term care plans.  Staff reported that there were no working sensor mats available for the use of residents identified as a high falls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clinical nurse manager interviewed.  Care staff interviewed state there are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enrolled nurse and clinical nurse manager review all wounds.  Wound assessment, wound management and evaluation forms and short-term care plans were in place for three minor wounds, with one wound included in the long-term care plan (one skin tear, one surgical wound and one infected in-growing toenail).  There are currently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well utilised at Ocean View and examples sighted included (but not limited to), weight and vital signs, blood glucose, restraint, turning charts, bowels and continence.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 officer four days per week.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which is incorporated into the InterRAI assessment process.  The recreation officer, in consultation with the registered nurse and clinical nurse manager, develops an individual activities plan for each resident.  Each resident is free to choose whether they wish to participate in the group activities programme or their individual plan.  Participation is monitored.  Group activities reflect ordinary patterns of life and include at least weekly planned visits to the community.  All long-term resident files sampled have a recent activities plan within the care plan and is appraised at least six 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and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reviewed had been evaluated six monthly by the clinical nurse manager, or with a change in health condition.  One resident had not been at the service six months.  Written evaluations describe the resident’s progress against the residents identified goals.  InterRAI assessments have been utilised in conjunction with the six monthly reviews.  Short-term care plans for short-term needs were evaluated and either resolved or added to the long-term care plan as an ongoing problem.  The multidisciplinary review involves the clinical nurse manager, GP, activities staff and resident/family.  The family are notified of the outcome of the review if unable to attend.  There is at least a three monthly review by the general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nurse manager identified that the service has access to a wide range of support either through the GP,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chemical/substance safety policy and waste management policy.  Management of waste and hazardous substances is covered during orientation of new staff.  Chemicals are stored safely in a locked cupboard.  Safety data sheets and product wall charts are available.  All chemicals were labelled correctly.  Gloves, aprons, and goggles are available for staff at the point of use.  Infection control policies state specific tasks and duties for which protective equipment is to be worn.  Staff were observed to be wearing appropriate personal protective clothing when carrying out their duties.  There is a chemical spills kit available.  Staff have attended chemical safety training with the approved provider for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 June 2016.  Reactive maintenance (maintenance requests logbooks) and a 52-week planned maintenance schedule are in place and maintained.  The maintenance person is currently the owner.  Medical equipment including hoists and weighing scales have been calibrated.  Electrical testing and tagging has been completed annually.  However, the chair lift had not been tested and tagged.  The hot water temperatures are monitored weekly and are maintained between 43-45 degrees Celsius.  The maintenance person/owner is on call and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completed include refurbishment, including some decorating. </w:t>
            </w:r>
          </w:p>
          <w:p w:rsidR="00EB7645" w:rsidRPr="00BE00C7" w:rsidP="00BE00C7">
            <w:pPr>
              <w:pStyle w:val="OutcomeDescription"/>
              <w:spacing w:before="120" w:after="120"/>
              <w:rPr>
                <w:rFonts w:cs="Arial"/>
                <w:b w:val="0"/>
                <w:lang w:eastAsia="en-NZ"/>
              </w:rPr>
            </w:pPr>
            <w:r w:rsidRPr="00BE00C7">
              <w:rPr>
                <w:rFonts w:cs="Arial"/>
                <w:b w:val="0"/>
                <w:lang w:eastAsia="en-NZ"/>
              </w:rPr>
              <w:t>The wide corridors and rails promote safe mobility with the use of mobility aids and transferring equipment.  Residents were observed moving freely around the areas with mobility aids where required.  The external areas and gardens are well maintained, including the front garden and wooden elevated decking.  There is outdoor furniture and seating.  There is safe wheelchair access to all communal areas.  There is an outdoor designated smoking area on the decking.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 interviewed stated that they do not have working sensor mats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bedrooms have access to hand basins.  Two rooms have shared ensuites.  All other rooms have communal bathrooms and toilets.  There are adequate numbers of communal toilets and shower rooms for the number of residents.  There are communal toilets located close to communal areas.  Toilets have privacy locks.  There is appropriate signage, easy clean flooring and fixtures, and handrails appropriately placed.  Residents interviewed report their privacy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The rooms are spacious enough to manoeuvre transferring and mobility equipment, to deliver the assessed level of care.  Residents are encouraged to personalise their bedrooms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lounge and separate dining room and smaller seating areas for quiet activities such as reading or for visitors.  The dining room is comfortable and spacious and adjacent to the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able) were observed to be moving freely with the use of mobility aids.  Furniture was well arranged to facilitate this.  The lounge accommodates specialised lounge chairs.  Seating and space is arranged to allow both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is laundered on-site.  There are laundry/housekeeper persons on duty five days a week.  There are defined clean/dirty areas.  Cleaner’s trolleys are stored in locked areas when not in use.  There were adequate linen supplies sighted in the facility linen-store cupboards.  The chemical provider audits the effectiveness of chemicals for laundry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oversees the housekeeper/laundry services.  Residents and relatives interviewed are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There is a first aid trained staff member on every shift.  The facility has an approved fire evacuation plan and fire drills take place six monthly.  Smoke alarms, sprinkler system and exit signs are in place.  The service has alternative gas facilities for cooking in the event of a power failure, with a backup system for emergency lighting and battery backup.  There are civil defence kits in the facility and stored water.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heating throughout the personal and communal areas.  All communal areas and bedrooms are well ventilated and light.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 View has an established infection control programme.  The infection control programme, its content and detail, is appropriate for the size, complexity and degree of risk associated with the service.  It is linked into the incident reporting system.  The clinical nurse manager (registered nurse) is the designated infection control coordinator with support from all staff.  Minutes of meetings held are available for staff.  There was no signed job description for the infection control coordinator (link 1.2.7.4).  Spot infection control audits have been conducted regarding infection control practices.  Education is provided for all new staff on orientation.  The infection control programme has not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IC nurse and IC team (comprising all staff) have good external support from the local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infection control forums at the DHB and is provided with education and updates through this forum.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Ocean View’s infection control manual.  Monthly infection data is collected for all infections based on signs and symptoms of infection.  Short-term care plans are used.  Surveillance of all infections is entered onto a monthly infection summary.  This data is monitored and evaluated monthly.  Outcomes and actions are discussed at quality/staff meetings (link 1.2 3.6).  If there is an emergent issue, it is acted upon in a timely manner.  Reports are easily accessible to the facility manager.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facility meetings.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On the day of audit, the service had one resident using two restraints (bedrails and a wheelchair lap belt safety harness).  No residents were using an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enrolled nurse is the restraint coordinator.  Assessment and approval process for restraint use included the restraint coordinator, registered nurses, resident/or representative and medical practitioner.  The restraint coordinator did not have a signed job description on the day of audit (link 1.2.7.4).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by the staff.  There was a restraint assessment tool completed for the one resident requiring bedrails and a wheelchair safety harness for safety.  Ongoing consultation with the resident and EPOA is also identified.  Falls risk assessments are completed six 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The care plan of the one resident with restraint, identified observations and monitoring.  Restraint use is reviewed through the three monthly assessment evaluations, monthly restraint meetings and six monthly multidisciplinary meeting and includes family/EPOA input.  A restraint register is in place, which has been completed for the one resident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has occurred three monthly as part of the ongoing reassessment for the resident on the restraint register, and as part of their care plan review.  The family is included as part of the MDR review.  Evaluation timeframes are determined by policy and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approved restraint is reviewed at least monthly through the restraint meeting. The scheduled audit on restraint practices has not occurred in the 12 months (link1.2.3.5).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57"/>
        <w:gridCol w:w="1280"/>
        <w:gridCol w:w="4012"/>
        <w:gridCol w:w="3026"/>
        <w:gridCol w:w="16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for cultural and spiritual awareness, however this policy does not include guidance on culturally safe care practices for Māori and the service does not have a Māori Health plan to meet contractual obligations.  The service recently had a staff member leave who acted as a link with Iwi and no new link has been identified.  Staff interviewed reported appropriate interventions to meet the needs of Māori residents.  However, the cultural needs were not documented in the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Ocean View does not have a documented Māori Health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is no documented policy, which outlines specific Māori values and beliefs, or culturally safe practices for Māori. </w:t>
            </w:r>
          </w:p>
          <w:p w:rsidR="00EB7645" w:rsidRPr="00BE00C7" w:rsidP="00BE00C7">
            <w:pPr>
              <w:pStyle w:val="OutcomeDescription"/>
              <w:spacing w:before="120" w:after="120"/>
              <w:rPr>
                <w:rFonts w:cs="Arial"/>
                <w:b w:val="0"/>
                <w:lang w:eastAsia="en-NZ"/>
              </w:rPr>
            </w:pPr>
            <w:r w:rsidRPr="00BE00C7">
              <w:rPr>
                <w:rFonts w:cs="Arial"/>
                <w:b w:val="0"/>
                <w:lang w:eastAsia="en-NZ"/>
              </w:rPr>
              <w:t>(iii)  Ocean View staff interviewed could not describe links with the local Māori community.</w:t>
            </w:r>
          </w:p>
          <w:p w:rsidR="00EB7645" w:rsidRPr="00BE00C7" w:rsidP="00BE00C7">
            <w:pPr>
              <w:pStyle w:val="OutcomeDescription"/>
              <w:spacing w:before="120" w:after="120"/>
              <w:rPr>
                <w:rFonts w:cs="Arial"/>
                <w:b w:val="0"/>
                <w:lang w:eastAsia="en-NZ"/>
              </w:rPr>
            </w:pPr>
            <w:r w:rsidRPr="00BE00C7">
              <w:rPr>
                <w:rFonts w:cs="Arial"/>
                <w:b w:val="0"/>
                <w:lang w:eastAsia="en-NZ"/>
              </w:rPr>
              <w:t>(iv)  Two residents who identified as Māori did not have their cultural values and beliefs documented in their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Ocean View has a documented Māori Health care plan that meets all legislative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there is a documented policy on cultural safety care practices for Māori.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appropriate links are established with local Iwi and the Māori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all residents who identify as Māori have their cultural values and beliefs documented in their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 View has documented policies to guide safe practice.  However, the documented policies do not all reflect current best practice, and some mandatory policies were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Ocean View does not have a documented policy for informed consent, death of a resident and safe food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policy for challenging behaviour, does not comply with current best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InterRAI requirements have not been included in the care planning or organisational policy documents.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that all mandatory polices are documented and all organisational polices meet current best practice, legislative and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management system in place that schedules the audits and monitoring required.  Not all scheduled monitoring or audits had been completed.  Data is not consistently analysed to identify areas for improvements.  The care staff interviewed reported that quality data is occasionally posted on the staff notice boards.  Internal audit results and adverse event results are not being consistently communicated to staff via staff notice boards or at quality/staff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Not all internal audits and monitoring identified on the organisation audit planner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Data collected for quality and risk management purposes is not always analysed with results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scheduled audits and monitoring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data collected is analysed and shared with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audit and monitoring results are less than the expected standard, corrective action plans (CAPs) are intended to be developed for areas requiring improvement.  Not all areas requiring improvement had documented corrective action plans in place.  The facility manager advised that once a corrective action plan has been implemented the corrective action plan is reviewed and then signed off as completed by the facility manager.  Not all corrective action plans sighted had been reviewed or signed off by the facility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Not all areas for improvement identified through the audit, monitoring process and staff and resident satisfaction surveys had corrective action plans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Not all corrective action plans had been reviewed or signed off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corrective action plans are developed for all areas requiring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corrective action plans are reviewed and signed off once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Manual in place, which provides guidance on the management of risks within the organisation.  The health and safety register was last reviewed in March 2016.  Not all hazards identified on the day of audit were included on the register and no risk management strategies had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care staff interviewed advised that two residents were currently using electric blankets and no risk management strategies had been documented or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current use of electric blankets by residents was not identified as a hazard on the hazard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identified hazards have risk management strategies documented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ii) Ensure all hazards are identified and included on the hazard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have signed job descriptions, which outline the requirements of their role.  Not all staff had signed job descriptions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six files reviewed did not have a signed job description on file.</w:t>
            </w:r>
          </w:p>
          <w:p w:rsidR="00EB7645" w:rsidRPr="00BE00C7" w:rsidP="00BE00C7">
            <w:pPr>
              <w:pStyle w:val="OutcomeDescription"/>
              <w:spacing w:before="120" w:after="120"/>
              <w:rPr>
                <w:rFonts w:cs="Arial"/>
                <w:b w:val="0"/>
                <w:lang w:eastAsia="en-NZ"/>
              </w:rPr>
            </w:pPr>
            <w:r w:rsidRPr="00BE00C7">
              <w:rPr>
                <w:rFonts w:cs="Arial"/>
                <w:b w:val="0"/>
                <w:lang w:eastAsia="en-NZ"/>
              </w:rPr>
              <w:t>ii) Job descriptions were not signed for the role of the infection control coordinator or restraint coordinator.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staff have a signed job description.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job descriptions are signed for all roles.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education planner that has scheduled education to cover the requirements of the Age Related Resident Contract.  Not all topics outlined on the schedule have been delivered.  Where training has occurred staff attendance has been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Education has not been provided in the past 2 years for advocacy and cultural awareness.  </w:t>
            </w:r>
          </w:p>
          <w:p w:rsidR="00EB7645" w:rsidRPr="00BE00C7" w:rsidP="00BE00C7">
            <w:pPr>
              <w:pStyle w:val="OutcomeDescription"/>
              <w:spacing w:before="120" w:after="120"/>
              <w:rPr>
                <w:rFonts w:cs="Arial"/>
                <w:b w:val="0"/>
                <w:lang w:eastAsia="en-NZ"/>
              </w:rPr>
            </w:pPr>
            <w:r w:rsidRPr="00BE00C7">
              <w:rPr>
                <w:rFonts w:cs="Arial"/>
                <w:b w:val="0"/>
                <w:lang w:eastAsia="en-NZ"/>
              </w:rPr>
              <w:t>ii) Where staff attendance numbers have been low at mandatory education sessions provided, no follow-up education or training has been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education schedule is fully implemented and education is provided to cover all contractual and legal requirements.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 process is put in place to ensure that all staff attend mandatory education and where attendance is low an education follow-up plan is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confirmed on interview they had received all relevant information on admission.  The information pack contains information on the service, residents’ rights and advocacy brochure.  Exclusions from the service are included in the admission agreement.  The admission agreement in use does not comply with the requirements of the ARRC.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amendments made in 2015 to clause D13.3 of the ARRC contract, regarding refund timeframes are not included in the admission agreement currently in use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Schedule One of Ocean View’s admission agreement lists additional service charges to be paid by the resident (medication and transport costs), which are required to be provided by the service under the terms of the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Schedule one state the room may be sublet if the resident is away from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current admission agreement aligns to the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residents are not charged for services that are required to be provided by the service as outlined in the ARRC.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identified as having a history of falls were witnessed mobilising independently.  One resident was witnessed in their room with a call bell within easy reach.  The long-term care plans include interventions such as, encourage resident to use the call bell, walk with mobility aid and wear correct footwear.  Care staff interviewed were aware of residents who are high falls risk and stated that they monitor their mobility and answer call bells immediately.  There are no working sensor mats available and staff stated that they have requested replacements be made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identified as having a history of a high number of falls had little falls prevention included in the long-term care plans.  The staff report that there are no working sensor mats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identified as a high falls risk have a full falls preventions included in their long-term care plan.  Ensure that sensor mats are made available for residents identified as a high falls risk attempting to mobilise independently.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Medical equipment has been electronically tested and tagged, including the hoist and weighing scales.  There is a chair lift on the stairs to the downstairs, which is used by one resident who lives in the lower ground floor room.  This chair lift had not been electronically tested and tagged.  There was evidence that all electrical equipment brought into the facility had been tested.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chair lift connecting the lower ground floor room with the upper ground floor had not been tested and tagged. One of the supports holding up a deck on the north eastern side of the building was split on the day of audit. This support had two pieces of timber placed over the split that were being held in place by a G clamp. The facility manager advised that the owner had arranged  for this support to be repaired the week after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chairlift is tested and tagged annually.</w:t>
            </w:r>
          </w:p>
          <w:p w:rsidR="00EB7645" w:rsidRPr="00BE00C7" w:rsidP="00BE00C7">
            <w:pPr>
              <w:pStyle w:val="OutcomeDescription"/>
              <w:spacing w:before="120" w:after="120"/>
              <w:rPr>
                <w:rFonts w:cs="Arial"/>
                <w:b w:val="0"/>
                <w:lang w:eastAsia="en-NZ"/>
              </w:rPr>
            </w:pPr>
            <w:r w:rsidRPr="00BE00C7">
              <w:rPr>
                <w:rFonts w:cs="Arial"/>
                <w:b w:val="0"/>
                <w:lang w:eastAsia="en-NZ"/>
              </w:rPr>
              <w:t>ii)Ensure that all essential reactive maintenance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reports on the implementation of the infection control programmes to the quality/staff meeting.  The infection control programme has not been reviewed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in the past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infection control programme is reviewed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Capital Residential Care Limited - Ocean View Residential Care</w:t>
    </w:r>
    <w:bookmarkEnd w:id="58"/>
    <w:r>
      <w:rPr>
        <w:rFonts w:cs="Arial"/>
        <w:sz w:val="16"/>
        <w:szCs w:val="20"/>
      </w:rPr>
      <w:tab/>
      <w:t xml:space="preserve">Date of Audit: </w:t>
    </w:r>
    <w:bookmarkStart w:id="59" w:name="AuditStartDate1"/>
    <w:r>
      <w:rPr>
        <w:rFonts w:cs="Arial"/>
        <w:sz w:val="16"/>
        <w:szCs w:val="20"/>
      </w:rPr>
      <w:t>4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