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Bosnyak Lifecare Management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Audit (NZ)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Bosnyak Lifecare Management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Regency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15 February 2016</w:t>
      </w:r>
      <w:bookmarkEnd w:id="7"/>
      <w:r w:rsidRPr="009418D4">
        <w:rPr>
          <w:rFonts w:cs="Arial"/>
        </w:rPr>
        <w:tab/>
        <w:t xml:space="preserve">End date: </w:t>
      </w:r>
      <w:bookmarkStart w:id="8" w:name="AuditEndDate"/>
      <w:r w:rsidR="00A4268A">
        <w:rPr>
          <w:rFonts w:cs="Arial"/>
        </w:rPr>
        <w:t>15 February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Regency Home and Hospital provides rest home and hospital level of care for up to 92 residents. This includes an 18 bed specialist secure dementia unit. There were 76 residents residing at the facility at the time of audit.  </w:t>
      </w:r>
    </w:p>
    <w:p w:rsidRPr="00A4268A">
      <w:pPr>
        <w:spacing w:before="240" w:line="276" w:lineRule="auto"/>
        <w:rPr>
          <w:rFonts w:eastAsia="Calibri"/>
        </w:rPr>
      </w:pPr>
      <w:r w:rsidRPr="00A4268A">
        <w:rPr>
          <w:rFonts w:eastAsia="Calibri"/>
        </w:rPr>
        <w:t xml:space="preserve">This surveillance audit was conducted against the relevant Health and Disability Services Standards and the service’s contract with the district health board (DHB). The audit process included the review of documentation, observations and interviews. The audit report is an evaluation of the combined evidence on how the service meets each of the standards. </w:t>
      </w:r>
    </w:p>
    <w:p w:rsidRPr="00A4268A">
      <w:pPr>
        <w:spacing w:before="240" w:line="276" w:lineRule="auto"/>
        <w:rPr>
          <w:rFonts w:eastAsia="Calibri"/>
        </w:rPr>
      </w:pPr>
      <w:r w:rsidRPr="00A4268A">
        <w:rPr>
          <w:rFonts w:eastAsia="Calibri"/>
        </w:rPr>
        <w:t xml:space="preserve">There was one area requiring improvement identified at the previous audit, related to the orientation process for temporary staff, this is now addressed. There are no systemic issues that required improvements to be implemented from this surveillance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families report that they receive open and honest communication and notifications from the staff. All residents can effectively communicate with staff. Translation services are used as appropriate. </w:t>
      </w:r>
    </w:p>
    <w:p w:rsidRPr="00A4268A">
      <w:pPr>
        <w:spacing w:before="240" w:line="276" w:lineRule="auto"/>
        <w:rPr>
          <w:rFonts w:eastAsia="Calibri"/>
        </w:rPr>
      </w:pPr>
      <w:r w:rsidRPr="00A4268A">
        <w:rPr>
          <w:rFonts w:eastAsia="Calibri"/>
        </w:rPr>
        <w:t xml:space="preserve">There is an easily accessible complaints management system. The complaints register records all complaints and concerns, dates and actions taken. There were no open complaints at the time of audit.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organisation’s mission, values and goals are clearly documented in business and quality plans. How the service is performing against key performance expectations is monitored on a regular basis through weekly, monthly and annual evaluation processes.</w:t>
      </w:r>
    </w:p>
    <w:p w:rsidRPr="00A4268A">
      <w:pPr>
        <w:spacing w:before="240" w:line="276" w:lineRule="auto"/>
        <w:rPr>
          <w:rFonts w:eastAsia="Calibri"/>
        </w:rPr>
      </w:pPr>
      <w:r w:rsidRPr="00A4268A">
        <w:rPr>
          <w:rFonts w:eastAsia="Calibri"/>
        </w:rPr>
        <w:t xml:space="preserve">The service is managed by a suitably qualified and experienced enrolled nurse. The manager is also supported by a clinical leader and registered nursing team. </w:t>
      </w:r>
    </w:p>
    <w:p w:rsidRPr="00A4268A">
      <w:pPr>
        <w:spacing w:before="240" w:line="276" w:lineRule="auto"/>
        <w:rPr>
          <w:rFonts w:eastAsia="Calibri"/>
        </w:rPr>
      </w:pPr>
      <w:r w:rsidRPr="00A4268A">
        <w:rPr>
          <w:rFonts w:eastAsia="Calibri"/>
        </w:rPr>
        <w:t xml:space="preserve">The service has a documented quality and risk management system, which includes an internal audit programme and hazard identification. The quality data is collated and analysed on a monthly basis. Where there are shortfalls identified, the service carries out corrective actions to ensure improvements are implemented. There are processes for the ongoing review of policies and procedures to guide staff on all aspects of service delivery that reflect current accepted practice and legislative requirements. </w:t>
      </w:r>
    </w:p>
    <w:p w:rsidRPr="00A4268A">
      <w:pPr>
        <w:spacing w:before="240" w:line="276" w:lineRule="auto"/>
        <w:rPr>
          <w:rFonts w:eastAsia="Calibri"/>
        </w:rPr>
      </w:pPr>
      <w:r w:rsidRPr="00A4268A">
        <w:rPr>
          <w:rFonts w:eastAsia="Calibri"/>
        </w:rPr>
        <w:t>The adverse event reporting system is planned and coordinated with staff documenting and reporting adverse, unplanned or untoward events.</w:t>
      </w:r>
    </w:p>
    <w:p w:rsidRPr="00A4268A">
      <w:pPr>
        <w:spacing w:before="240" w:line="276" w:lineRule="auto"/>
        <w:rPr>
          <w:rFonts w:eastAsia="Calibri"/>
        </w:rPr>
      </w:pPr>
      <w:r w:rsidRPr="00A4268A">
        <w:rPr>
          <w:rFonts w:eastAsia="Calibri"/>
        </w:rPr>
        <w:t xml:space="preserve">Systems for human resources management are established and implemented for the recruitment, orientation and ongoing performance appraisals. The education programme for all staff is available and planned for the year. The required training is provided for staff who work in the dementia unit. The rosters confirm there are adequate staff numbers to meet contractual requirements and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receive timely, competent and appropriate services that meet their assessed needs and desired outcome/goals. The residents are admitted with the use of standardised risk assessment tools and assessed via the interRAI assessment tool, within the required timeframes. Short term care plans are consistently developed and evaluated when acute conditions are identified. Long term care plans are reviewed every six months. Planned activities are appropriate to the needs, age and culture of the residents.  </w:t>
      </w:r>
    </w:p>
    <w:p w:rsidRPr="00A4268A" w:rsidP="00621629">
      <w:pPr>
        <w:spacing w:before="240" w:line="276" w:lineRule="auto"/>
        <w:rPr>
          <w:rFonts w:eastAsia="Calibri"/>
        </w:rPr>
      </w:pPr>
      <w:r w:rsidRPr="00A4268A">
        <w:rPr>
          <w:rFonts w:eastAsia="Calibri"/>
        </w:rPr>
        <w:t>The medicine management system meets the required regulations and guidelines. All staff have current medication competencies. Policies and procedures are in place when residents self-administer medications.</w:t>
      </w:r>
    </w:p>
    <w:p w:rsidRPr="00A4268A" w:rsidP="00621629">
      <w:pPr>
        <w:spacing w:before="240" w:line="276" w:lineRule="auto"/>
        <w:rPr>
          <w:rFonts w:eastAsia="Calibri"/>
        </w:rPr>
      </w:pPr>
      <w:r w:rsidRPr="00A4268A">
        <w:rPr>
          <w:rFonts w:eastAsia="Calibri"/>
        </w:rPr>
        <w:t>Meal services meet the individual food, fluids and nutritional needs of the residents.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displayed. There have been no changes to the layout of the service that has required the approved evacuation plan to be changed.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are clear and comprehensive policies and procedures that meet the requirements of the restraint minimisation and safe practice. There is one resident who is using an enabler and nine residents are on restraint. There is a current restraint register. Staff demonstrated good knowledge regarding restraints and enablers.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Surveillance of residents’ infections is appropriately managed for the size and complexity of the service. There are processes in place for infection surveillance, and for reporting of, analysing trends and responding to surveillance results. The results of the infections surveillance are reported to management and staff.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65"/>
        <w:gridCol w:w="1280"/>
        <w:gridCol w:w="101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process sighted identifies the required procedures and complies with time frames within Right 10 of the Health and Disability Commissioner's (HDC) Code of Health and Disability Services Consumers' Rights (the Code). Complaints management information is included in resident information packs and discussed with residents and their families as part of the admission process. Complaints forms are accessible at the entrance to the facility. The residents and families report that if they have any issues or make a complaint, the issues are actioned. The satisfaction survey records that complaints are dealt with in a timely manner. Staff confirmed their understanding of the complaints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contains all complaints and concerns. The register records the date the complaint is lodged and is linked to the complaint form that records the complaint summary, investigation, actions and findings. There were no open complaints at the time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family/whānau members confirmed they are kept informed of the resident's status, including any events adversely affecting the resident. Evidence of open disclosure is documented in each resident’s file, through the family communication sheet, on the accident/incident forms and in the resident’s progress notes.</w:t>
            </w:r>
          </w:p>
          <w:p w:rsidR="00EB7645" w:rsidRPr="00BE00C7" w:rsidP="00BE00C7">
            <w:pPr>
              <w:pStyle w:val="OutcomeDescription"/>
              <w:spacing w:before="120" w:after="120"/>
              <w:rPr>
                <w:rFonts w:cs="Arial"/>
                <w:b w:val="0"/>
                <w:lang w:eastAsia="en-NZ"/>
              </w:rPr>
            </w:pPr>
            <w:r w:rsidRPr="00BE00C7">
              <w:rPr>
                <w:rFonts w:cs="Arial"/>
                <w:b w:val="0"/>
                <w:lang w:eastAsia="en-NZ"/>
              </w:rPr>
              <w:t>There are some residents who do not speak English as their first language. There are effective interpreting systems implemented by staff and families. Staff demonstrated knowledge of how to contact an interpreting service if required. There are communication strategies for the residents with cognitive impairment.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rest home, hospital and secure specialist dementia care. There are three rest home wings, two hospital wings and one secure dementia unit. At the time of audit there were 35 rest home, 26 hospital and 15 dementia level of care residents, (this included one resident under the age of 65). The services provides long term care as well as short term respite care. The services are planned to meet the individual needs of each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mission, values and directions of the service are documented in the business and quality plan. The business plan includes the ongoing upgrading and refurbishment of the service. The business plan is reviewed on an annual basis, with the manager providing the director with how the service is performing formally through a manager’s report on a weekly basis. There is also a monthly governance meeting which includes performance against key performance expectations. The manager and director also have more informal discussions on a daily basis.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suitably qualified manager. The manager has been at the service for over 21 years with 15 years in the management role. The manager’s job description documents their role, objectives, responsivities and key performance expectations. The manager reports to the director. The manager is an enrolled nurse and has attended over eight hours of education in the past year related to management of aged care services. The service is a member of an aged care association and receives regular updates related to aged care management and legislative changes. The manager is support by a clinical leader and the 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families report satisfaction with the care and services provided. This is also confirmed in the resident satisfaction survey.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plan for 2016 was sighted. The plan includes the organisational goals for the upcoming year. The quality plan details the risks, current controls and ongoing actions required to provide safe and appropriate care. The quality and risk systems are monitored through internal audits, surveys and the quality improvement team meetings. Each of the quality goals identified covers all aspects of care and service delivery. There is an annual evaluation of the service’s performance with the 2015 evaluation documenting how the service is achieving against their goals.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actively involved in the quality programme and demonstrated an understanding of what the organisation aims to achieve. The outcomes of the internal auditing and quality management systems are discussed at monthly quality and staff meetings and outcomes displayed in the staff room. Staff confirmed they understood and implement the quality and risk management systems. All potential and actual risks are reported to the director and reviewed regularly.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organisational polices have been developed by a quality consultant. Most polices are reviewed on a two yearly basis, or sooner if there are legislative or practice changes. There is a folder for the staff to review any new, changed or updated policies. The staff only have access to the most recent version of the policy. All policies sighted have version control information in the footer of the document. The service also uses best practice guidelines from the DHB, which include pressure injury prevention, grading and interventions.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collection and analysis is maintained by the service and evaluation of results shared with staff and management. Corrective actions are put in place when indicated. The internal audit form records the outcomes, actions needed, who is to implement the actions and the review of when the actions have been implemented. Data is collected and reviewed and evaluated for all key components of the service at the quality and risk meeting. </w:t>
            </w:r>
          </w:p>
          <w:p w:rsidR="00EB7645" w:rsidRPr="00BE00C7" w:rsidP="00BE00C7">
            <w:pPr>
              <w:pStyle w:val="OutcomeDescription"/>
              <w:spacing w:before="120" w:after="120"/>
              <w:rPr>
                <w:rFonts w:cs="Arial"/>
                <w:b w:val="0"/>
                <w:lang w:eastAsia="en-NZ"/>
              </w:rPr>
            </w:pPr>
            <w:r w:rsidRPr="00BE00C7">
              <w:rPr>
                <w:rFonts w:cs="Arial"/>
                <w:b w:val="0"/>
                <w:lang w:eastAsia="en-NZ"/>
              </w:rPr>
              <w:t>The risk, hazard and emergency response plan identifies potential and actual hazards. The plan includes what the hazard is, potential harm, preventative actions and ways to eliminate, isolate or minimise the risk. A hazard identification form and the maintenance job request logs are used to record any new hazards. When new issues are identified, these are reviewed at the quality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demonstrated understanding of their statutory and/or regulatory obligations in relation to essential notification reporting and the correct authority is notified where required. This include the requirements of essential notification for stage three and above pressure injuries. Essential notifications forms sighted for 2015 are appropriately actioned.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documents adverse, unplanned, or untoward events including service shortfalls in order to identify opportunities to improve service delivery, and to identify and manage risk. Adverse events are reviewed and analysed on a monthly basis at the quality meeting. The adverse event forms and monthly analysis are used for making improvements where required. The service includes the reporting of pressure injuries in their quality/incident data analysis systems.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 previous area for improvement at criterion 1.2.7.4 to ensure the agency/bureau staff receive an orientation/induction programme that covers the essential components of the service provided. This is now addressed through the development of a bureau nursing staff orientation checklist. There has been minimal usage of agency staff with two staff requiring the orientation in 2015.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Professional qualifications and practicing certificates are validated on employment, with a register maintained of when annual practicing certificates are due. All professional staff and contractors have a current practicing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files evidenced that good employment processes are implemented, such as recruitment, interview and reference checking. All staff files and staff interviewed confirmed orientation is conducted and covers the essential components of care, service delivery, emergency management and health and safety. Performance reviews are conducted after three months then at least annually. </w:t>
            </w:r>
          </w:p>
          <w:p w:rsidR="00EB7645" w:rsidRPr="00BE00C7" w:rsidP="00BE00C7">
            <w:pPr>
              <w:pStyle w:val="OutcomeDescription"/>
              <w:spacing w:before="120" w:after="120"/>
              <w:rPr>
                <w:rFonts w:cs="Arial"/>
                <w:b w:val="0"/>
                <w:lang w:eastAsia="en-NZ"/>
              </w:rPr>
            </w:pPr>
            <w:r w:rsidRPr="00BE00C7">
              <w:rPr>
                <w:rFonts w:cs="Arial"/>
                <w:b w:val="0"/>
                <w:lang w:eastAsia="en-NZ"/>
              </w:rPr>
              <w:t>The in-service education programme covers the essential components of service delivery for rest home, hospital and dementia level of care. The service also accesses ongoing education support from the palliative/hospice care services and other specialist nurses such as wound and gerontology. The 2016 in-service education programme includes skin care and pressure injury prevention and management. The care staffing in the dementia unit meet contractual requirements for the required education related to the national unit standards for dementia care. The diversional therapist and activities coordinator have completed specific training in dementia care. Attendance records are kept for the education that staff have attended, as sighted in each of the staff member’s personnel files. The RNs who conduct the interRAI assessments have completed their training and ongoing competency for this.</w:t>
            </w:r>
          </w:p>
          <w:p w:rsidR="00EB7645" w:rsidRPr="00BE00C7" w:rsidP="00BE00C7">
            <w:pPr>
              <w:pStyle w:val="OutcomeDescription"/>
              <w:spacing w:before="120" w:after="120"/>
              <w:rPr>
                <w:rFonts w:cs="Arial"/>
                <w:b w:val="0"/>
                <w:lang w:eastAsia="en-NZ"/>
              </w:rPr>
            </w:pPr>
            <w:r w:rsidRPr="00BE00C7">
              <w:rPr>
                <w:rFonts w:cs="Arial"/>
                <w:b w:val="0"/>
                <w:lang w:eastAsia="en-NZ"/>
              </w:rPr>
              <w:t>The residents, family and satisfaction survey results confirm satisfaction with the quality and skills of the staff at Regency. One survey records that the staff at Regency ‘are the best I have ever met’ and ‘I have never had it so good all my life’.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workforce planning policy and rosters clearly document the staffing requirements for the rest home, hospital and dementia services. The policy records that rostered hours are based on the needs of the residents. The sighted rosters meet the contractual requirements for the different levels of care. There is at least one RN on duty at all times, with all but one shift a week on morning and afternoon shift having at least two RNs on duty. There are at least two care staff (RN and caregivers) on duty at all times for the hospital and rest home at night. There is at least one care staff on duty at all times in the specialists dementia unit, with the RN providing additional coverage and support to the dementia unit. In additional to the roster staff, there is a manager (EN) and a clinical leader (RN) on duty full time Monday to Fridays.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at least one staff member on duty each shift who has current first aid qualifications. There are appropriate staffing level for activities, cooking and laundry.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families report satisfaction with the number and skill of the staff at Regency.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medicine management system is consistently implemented to ensure that the residents receive medicines in a safe and timely manner. The medication charts are generated by the pharmacy and photos are present in all reviewed medication charts. There is evidence that medication charts are reviewed regularly. All discontinued medications are signed and dated by the GP and allergies are documented. Medicine reconciliation is conducted by the RNs when a resident is discharged back to the service from the public hospital.</w:t>
            </w:r>
          </w:p>
          <w:p w:rsidR="00EB7645" w:rsidRPr="00BE00C7" w:rsidP="00BE00C7">
            <w:pPr>
              <w:pStyle w:val="OutcomeDescription"/>
              <w:spacing w:before="120" w:after="120"/>
              <w:rPr>
                <w:rFonts w:cs="Arial"/>
                <w:b w:val="0"/>
                <w:lang w:eastAsia="en-NZ"/>
              </w:rPr>
            </w:pPr>
            <w:r w:rsidRPr="00BE00C7">
              <w:rPr>
                <w:rFonts w:cs="Arial"/>
                <w:b w:val="0"/>
                <w:lang w:eastAsia="en-NZ"/>
              </w:rPr>
              <w:t>The staff administering medications complied with the medication administration policies and procedures as evidenced in the observed medication rounds in the rest home, hospital and dementia units. Current medication competencies are evidenced in the staff files.</w:t>
            </w:r>
          </w:p>
          <w:p w:rsidR="00EB7645" w:rsidRPr="00BE00C7" w:rsidP="00BE00C7">
            <w:pPr>
              <w:pStyle w:val="OutcomeDescription"/>
              <w:spacing w:before="120" w:after="120"/>
              <w:rPr>
                <w:rFonts w:cs="Arial"/>
                <w:b w:val="0"/>
                <w:lang w:eastAsia="en-NZ"/>
              </w:rPr>
            </w:pPr>
            <w:r w:rsidRPr="00BE00C7">
              <w:rPr>
                <w:rFonts w:cs="Arial"/>
                <w:b w:val="0"/>
                <w:lang w:eastAsia="en-NZ"/>
              </w:rPr>
              <w:t>The system in place for the management of medicine meets the required regulations and guidelines. The controlled drugs register was correct and current. Weekly stocktake of controlled drugs is conducted by the RNs regularly while the pharmacist conducted six monthly stocktakes with the RNs. Fridge temperatures are recorded regularly. All medications are stored appropriately in the units.</w:t>
            </w:r>
          </w:p>
          <w:p w:rsidR="00EB7645" w:rsidRPr="00BE00C7" w:rsidP="00BE00C7">
            <w:pPr>
              <w:pStyle w:val="OutcomeDescription"/>
              <w:spacing w:before="120" w:after="120"/>
              <w:rPr>
                <w:rFonts w:cs="Arial"/>
                <w:b w:val="0"/>
                <w:lang w:eastAsia="en-NZ"/>
              </w:rPr>
            </w:pPr>
            <w:r w:rsidRPr="00BE00C7">
              <w:rPr>
                <w:rFonts w:cs="Arial"/>
                <w:b w:val="0"/>
                <w:lang w:eastAsia="en-NZ"/>
              </w:rPr>
              <w:t>There is a resident who self-administers medications and policies and procedures are followed by the staff in relation to self-administration of medications.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Food service policies and procedures include the principles of food safety, ordering, storage, cooking, reheating and food handling. All meals are prepared and cooked onsite by the cook. The cooks have current food handling certificates.</w:t>
            </w:r>
          </w:p>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meals that meet their food, fluids and nutritional needs. The RNs complete the dietary requirement forms on admission and provide a copy to the kitchen. The kitchen folder which contains dietary requirements of the residents is updated regularly. Additional or modified foods are also provided by the service.</w:t>
            </w:r>
          </w:p>
          <w:p w:rsidR="00EB7645" w:rsidRPr="00BE00C7" w:rsidP="00BE00C7">
            <w:pPr>
              <w:pStyle w:val="OutcomeDescription"/>
              <w:spacing w:before="120" w:after="120"/>
              <w:rPr>
                <w:rFonts w:cs="Arial"/>
                <w:b w:val="0"/>
                <w:lang w:eastAsia="en-NZ"/>
              </w:rPr>
            </w:pPr>
            <w:r w:rsidRPr="00BE00C7">
              <w:rPr>
                <w:rFonts w:cs="Arial"/>
                <w:b w:val="0"/>
                <w:lang w:eastAsia="en-NZ"/>
              </w:rPr>
              <w:t>Fridge and food temperatures are monitored and recorded daily. Cooked meals are plated from the kitchen to the main dining area and the food for the hospital and dementia units are transported in a portable bain marie. The meals are well-presented and residents confirmed that they are provided with alternative meals as per request. All residents are weighed regularly. Residents with weight loss problems are provided with food supplements and are assisted by the staff during meals.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documented interventions are sufficiently detailed and well-documented to address the assessed needs and desired goals/outcomes. Interventions in the long term care plans address the outcome scale trends in the interRAI assessments. Interventions in managing acute infections were documented in the short term care plans and these are updated when the desired goals/outcomes are not met or when the resident’s response to the treatment is not satisfactory.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Activities provided are appropriate to the needs, age and culture of the residents. The activities are physically and mentally stimulating. The diversional therapist develops the weekly activity plans with the manager, members of the health team and with the residents who are able to participate. The weekly activities are posted in the main bulletin board and in both hospital and rest home unit lounges. The activity plans are well-documented and reflect the resident’s preferred activities and interests. The resident’s activities participation log was sighted. Interviewed residents and families verbalised the activities provided by the service are adequate and enjoyable. A 24-hour activity plan is in place for all residents in the dementia unit and involves more visual stimulating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Short term care plans are evaluated by the registered nurses and the resolutions of the identified acute conditions are documented in the reviewed residents’ files. Long term care plans are reviewed and evaluated every six months or earlier as required. Interventions in both long term and short term care plans are modified when the outcomes are different from expected. Interviewed residents and family members reported they are involved in all aspects of care and reviews/evaluations.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warrant of fitness expires in March 2016. There has been no changes to the layout of the service that has required changes to the approved evacuation scheme.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system for infection surveillance which is appropriate to the size and complexity of the service. The infection control coordinator, a registered nurse, collates the monthly surveillance data related to infections. Surveillance results are reported to staff and management at the monthly quality and staff meetings, with the results displayed in the staff room. The surveillance data recorded an increase in respiratory infections in December 2015, with the analysis for January 2016 recording that the actions implemented to reduce this type of infection were successful, with a reduction of chest infections recorded. The staff demonstrated knowledge of actions required to reduce infections. One family member commented that their relative has had an ongoing urinary tract infection and described the measures the service has implemented to reduce the infections reoccurrence.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demonstrates that the use of restraint is actively minimised. There were nine residents using restraints and one resident using an enabler. The restraint register is current and updated. The policies and procedures have definitions of restraints and enablers that are compliant to the standard. Assessments and consents were sighted in the reviewed residents’ records that are using restraints or enabler. Interviewed staff demonstrated good knowledge about restraints and enablers.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Bosnyak Lifecare Management Limited</w:t>
    </w:r>
    <w:bookmarkEnd w:id="58"/>
    <w:r>
      <w:rPr>
        <w:rFonts w:cs="Arial"/>
        <w:sz w:val="16"/>
        <w:szCs w:val="20"/>
      </w:rPr>
      <w:tab/>
      <w:t xml:space="preserve">Date of Audit: </w:t>
    </w:r>
    <w:bookmarkStart w:id="59" w:name="AuditStartDate1"/>
    <w:r>
      <w:rPr>
        <w:rFonts w:cs="Arial"/>
        <w:sz w:val="16"/>
        <w:szCs w:val="20"/>
      </w:rPr>
      <w:t>15 February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