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Okere House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Okere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Okere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March 2016</w:t>
      </w:r>
      <w:bookmarkEnd w:id="7"/>
      <w:r w:rsidRPr="009418D4">
        <w:rPr>
          <w:rFonts w:cs="Arial"/>
        </w:rPr>
        <w:tab/>
        <w:t xml:space="preserve">End date: </w:t>
      </w:r>
      <w:bookmarkStart w:id="8" w:name="AuditEndDate"/>
      <w:r w:rsidR="00A4268A">
        <w:rPr>
          <w:rFonts w:cs="Arial"/>
        </w:rPr>
        <w:t>17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Okere House provides residential care for up to 26 residents who require dementia level rest home care.  Occupancy was 19 during this audit.  The governing body is Okere House Limited.  </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Standards and the service’s contract with the district health board (DHB). The audit process included the review of policies and procedures, review of resident and staff files, observations and interviews with a resident, families, management, staff and a general practitioner.</w:t>
      </w:r>
    </w:p>
    <w:p w:rsidRPr="00A4268A">
      <w:pPr>
        <w:spacing w:before="240" w:line="276" w:lineRule="auto"/>
        <w:rPr>
          <w:rFonts w:eastAsia="Calibri"/>
        </w:rPr>
      </w:pPr>
      <w:r w:rsidRPr="00A4268A">
        <w:rPr>
          <w:rFonts w:eastAsia="Calibri"/>
        </w:rPr>
        <w:t>Four of the five areas identified as requiring improvement during the last audit have been addressed.  The one remaining area requiring improvement relates to resident documentation.  One new area was identified as requiring improvement during this audit relating to practising certificate for one of the registered nurses.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Information regarding residents’ rights, access to interpreter services and how to lodge a complaint is available to residents and their families.  The facility manager is responsible for the management of complaints and a complaints register is maintained. There has been one complaint investigation undertaken by the DHB since the last certification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Okere House Limited is the governing body and is responsible for the service provided at Okere House.  Business and quality plans were reviewed along with a philosophy, mission statement, scope of service, values and business and quality goals.  The facility manager meets with the director monthly.  </w:t>
      </w:r>
    </w:p>
    <w:p w:rsidRPr="00A4268A">
      <w:pPr>
        <w:spacing w:before="240" w:line="276" w:lineRule="auto"/>
        <w:rPr>
          <w:rFonts w:eastAsia="Calibri"/>
        </w:rPr>
      </w:pPr>
      <w:r w:rsidRPr="00A4268A">
        <w:rPr>
          <w:rFonts w:eastAsia="Calibri"/>
        </w:rPr>
        <w:t xml:space="preserve">The facility manager is supported by two registered nurses (RNs); one of which has recently graduated.  </w:t>
      </w:r>
    </w:p>
    <w:p w:rsidRPr="00A4268A">
      <w:pPr>
        <w:spacing w:before="240" w:line="276" w:lineRule="auto"/>
        <w:rPr>
          <w:rFonts w:eastAsia="Calibri"/>
        </w:rPr>
      </w:pPr>
      <w:r w:rsidRPr="00A4268A">
        <w:rPr>
          <w:rFonts w:eastAsia="Calibri"/>
        </w:rPr>
        <w:t>The service continues to make ongoing improvements with management of the quality and risk management systems.  The two areas identified during the last audit as requiring improvement relating to quality and risk management documentation have been addressed.  Quality indicators are reported monthly to staff. There is an internal audit programme and audits are completed.  Risks are identified and there is a hazard register.  Adverse events are documented on accident/incident forms. Internal audits, infection control surveillance, accident/incident forms, meeting minutes and surveys evidence analysis of data and the development of corrective action plans to address any issue/s that require improvement.</w:t>
      </w:r>
    </w:p>
    <w:p w:rsidRPr="00A4268A">
      <w:pPr>
        <w:spacing w:before="240" w:line="276" w:lineRule="auto"/>
        <w:rPr>
          <w:rFonts w:eastAsia="Calibri"/>
        </w:rPr>
      </w:pPr>
      <w:r w:rsidRPr="00A4268A">
        <w:rPr>
          <w:rFonts w:eastAsia="Calibri"/>
        </w:rPr>
        <w:t>There are policies and procedures on human resource management.  Staff files evidence job descriptions, orientation, performance appraisals, and police vetting.  With the exception of the recently graduated RN, current practising certificates are held on files for all health professionals who require them to practice.</w:t>
      </w:r>
    </w:p>
    <w:p w:rsidRPr="00A4268A">
      <w:pPr>
        <w:spacing w:before="240" w:line="276" w:lineRule="auto"/>
        <w:rPr>
          <w:rFonts w:eastAsia="Calibri"/>
        </w:rPr>
      </w:pPr>
      <w:r w:rsidRPr="00A4268A">
        <w:rPr>
          <w:rFonts w:eastAsia="Calibri"/>
        </w:rPr>
        <w:t xml:space="preserve">An in-service education programme is provided for staff at least monthly. Caregivers are also supported to complete the New Zealand Qualifications Authority Unit Standards relating to aged care and dementia; staff have either completed the dementia specific education modules or are working towards completing them.  </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 and the registered nurses are available on call after hours.  Care staff interviewed reported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on admission. The residents’ files provide evidence that needs, goals and outcomes are identified and reviewed on a regular basis; however the assessment is not always undertaken using the interRAI assessment tool and this requires attention. A previous corrective action around the organisation not meeting timeframes for GP visits has been addressed. Interviews with residents’ families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available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are consistent with these documents.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access to food at any time, special dietary requirements and need for feeding assistance or modified equipment met. Observation at meal times and interviews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improvements required during the last audit relating to calibration/performance verification of biomedical equipment have been made. </w:t>
      </w:r>
    </w:p>
    <w:p w:rsidRPr="00A4268A">
      <w:pPr>
        <w:spacing w:before="240" w:line="276" w:lineRule="auto"/>
        <w:rPr>
          <w:rFonts w:eastAsia="Calibri"/>
        </w:rPr>
      </w:pPr>
      <w:r w:rsidRPr="00A4268A">
        <w:rPr>
          <w:rFonts w:eastAsia="Calibri"/>
        </w:rPr>
        <w:t xml:space="preserve">A current building warrant of fitness is displayed.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processes in place for determining safe and appropriate restraint and enabler use and reflects the requirements of the restraint minimisation and safe practice standard. On the day of audit the restraint register was up to date.  The care staff demonstrate knowledge and understanding of safe restraint management processes, including enabler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education is included in the staff orientation programme, annual core training and in topical sessions. A previous corrective action requiring the infection control nurse to attend ongoing infection control training has been addressed. Residents are supported with infection control information as appropriate.</w:t>
      </w:r>
    </w:p>
    <w:p w:rsidRPr="00A4268A">
      <w:pPr>
        <w:spacing w:before="240" w:line="276" w:lineRule="auto"/>
        <w:rPr>
          <w:rFonts w:eastAsia="Calibri"/>
        </w:rPr>
      </w:pPr>
      <w:r w:rsidRPr="00A4268A">
        <w:rPr>
          <w:rFonts w:eastAsia="Calibri"/>
        </w:rPr>
        <w:t>Surveillance of infections is occurring according to the descriptions of the process in the infection control programme. Data on the nature and frequency of identified infections is collated and analysed. The results of surveillance are reported through all levels of the organisation.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4"/>
        <w:gridCol w:w="1280"/>
        <w:gridCol w:w="9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management of complaints. There are appropriate systems in place to manage the complaints processes.  The last complaint documented in the complaints register was received in March 2016 and was made by a resident.  The complaint relates to allegations of abuse of a resident by a staff member.  This complaint was investigated and the staff member is no longer working at Okere House.  There has been one complaint investigated by the DHB since the last audit and one aspect of this complaint relating to an aspect of care has been substantiated.  The DHB is continuing to address other aspects of this complaint that relates to a DHB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there have been no investigations by the Ministry of Health, Health and Disability Commissioner, Accident Compensation Corporation (ACC), Coroner or Police since the previous certification audit.  </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Systems are in place that ensure residents and their families are advised on entry to the facility of the complaint processes.  Family members demonstrated an understanding and awareness of these processes.  Family members and residents are able to raise any issues during the family and resident meetings.  Family members interviewed and review of meeting minutes confirmed this.  Review of the collated family survey completed in February 2016 evidenced family knew the process for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process and forms were observed to be readily accessible and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forms showed timely and open communication with residents/family members.  Communication with family members is recorded in the resident’s file.  Family members expressed satisfaction with how well they were kept informed about any change to the resident’s condition and their involvement in resident care planning.  Family and residents’ meetings are held monthly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advised that interpreters are able to be accessed from: the district health board (DHB) interpreter services; the local community; or family members if required. This information is also provided to residents/families as part of the information/admission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Okere House Limited is the governing body and is responsible for the service provided at Okere House.  Business and quality plans were reviewed that include business and quality goals as well as scope of service, vision, values and philosophy of care. The director visits Okere House monthly and reviews progress towards meeting the goals as well as service delivery during these visits.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who is not a registered nurse, is supported by two registered nurses (RNs) who are responsible for oversight of clinical care.  The RNs each have been allocated different areas of responsibility and these where reviewed in their personal files.  Registered nurse (RN) cover is provided six days a week between 7am and 4.00pm as well as after-hours via an on-call roster shared between the two RNs.   The facility manager has a diploma in business and was appointed to this position in April 2014.</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registered nurses’ personal files and education records were reviewed and provided evidence of maintaining knowledge and current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Okere House Limited is certified to provide 26 dementia level care beds and 19 of these beds were occupied during this audit.   The service provider has funding contracts with the district health board (DHB) to provide aged related residential care (dementia), carer relief / residential respite, and long term support - chronic health conditions.  There were two residents aged less than 65 years of age and assessed as requiring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areas identified as requiring improvement during the last audit relating to quality and risk management systems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is used to guide the quality programme and includes goals and objectives.  An internal audit programme is in place and internal audits completed in 2015 and 2016 were reviewed, along with processes for identification of risks. Risks are identified, and there is a hazard register that identifies health and safety risks as well as risks associated with human resource management, legislative compliance, contractual risks and clinical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quality/leadership, staff and family and resident meetings are held.  Meeting minutes were reviewed and these are available for review by staff.  Meeting minutes provide evidence of reporting/ feedback on completion of internal audits and various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ensuring the organisations quality and risk management systems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various registers and forms and were reviewed as part of this audit.  There was documented evidence quality improvement data is being collected, collated, analysed and reported.  Quality improvement data reviewed, including adverse event forms, internal audits and meeting minutes provided evidence that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standards are identified and included in the policies and procedures manuals.  Policies and procedures reviewed are relevant to the scope and complexity of the service and reference legislative requirements.  Policies/procedures are available with systems in place for reviewing and updating the policies and procedures.  Staff confirmed during interviews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policies and procedures are available and staff are aware of and report hazards at the facility, when this is required. Chemical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 and incident forms are reviewed by the registered nurse/s and the facility manager and are signed off when completed. Corrective action plans to address areas requiring improvement are documented on accident/incident forms. The registered nurse undertakes assessments of residents following an accident. Neurological observations and falls risk assessments are completed following accidents/incidents as appropriate. The facility manager, registered nurses and care staff reported the registered nurse on call is contacted if a resident has an unwitnessed fall when the registered nurse is not on duty.</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responsibilities for completion of adverse events through job descriptions and policies and procedures. Staff also confirmed they complete accident/incident forms for adverse events. Policy and procedures comply with essential notification reporting for example health and safety, human resources,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reported they are aware of their responsibilities concerning essential notifications and evidence of this was reviewed during audit including the three section 31 notifications of reportable events made to the Ministry of Health in 2015.</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as well as accident and incident forms, residents’ progress notes, and family communication sheets provided evidence that communication/contact with family is being documented following adverse events (as appropriate) involving the resident, or when there is any change in the resident’s condition.  Family members advised they are contacted if their family member has an accident/incident, and/or if there is any change in their condition.  This finding was confirmed during review of the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checks, and police vetting and completed orientations. One of the two RNs does not have a current practising certificate (see criterion 1.2.7.2).  Copies of annual practising certificates were reviewed for the rest of the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with support from the registered nurses, is responsible for management of the in-service education programme.  Individual staff attendance records and attendance records for each education session were reviewed and evidenced ongoing education is provided. The two RNs have the required interRAI assessments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provided at least twice a month.  Care staff are supported to complete the New Zealand Qualifications Authority approved aged care education modules including the dementia specific modules. Care staff have either completed the dementia specific education modules or are working towards completing them.  Staff are also supported to complete education via external education providers.</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Registered nurse (RN) cover is provided Monday to Saturday.  The two registered nurses share the after -hours on call and the on call RN is documented on the roster.  The facility manager is also available after hours.  The minimum amount of staff on duty is during the night and consists of two caregivers.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is adequate staff available and that they are able to get through their work. All staff are required to have current first aid certificates. Family members and their representatives reported staff provide the residents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when required, are stored in separate locked cupboards. Controlled drugs are checked by two nurses for accuracy in administration. The controlled drug register evidences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 administer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residents’ doctor and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specific to each resident, are used and documentation is compliant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are provided in line with recognised nutritional guidelines for older people as verified by the dietitian’s documented recent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were sighted. Food is available and accessible 24 hours per day, to meet residents’ needs. Evidence of residents’ nutritional requirements being met was verified, by observation, documentation and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was sighted as was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residents’ family/whanau interviews, documentation recording residents comments after each meal, sighted satisfaction surveys and residents families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 is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residents’ needs and desired outcomes. Residents have freedom to move around within an environment that maximised resident safety.  Residents’ family/whanau members expressed satisfaction with the care provided. Residents’ were observed to be having their needs attended to by staff in a calm and relaxed manner. There was no evidence of behaviours that were causing distress to others.</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trainee diversional therapist, with mentoring input from a qualified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 twenty-four hour activities programme that is meaningful to the residents. The planned monthly activities programme sighted matches the skills, likes, dislikes and interests evidenced in assessment data.  Activities reflect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meeting of residents’ family members is held monthly.  Meeting minutes, interviews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and documentation, verified residents’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improvements identified during the last audit relating to calibration and performance verification of biomedical equipment and scales have been made.  Electrical safety tags were viewed on electrical items.  </w:t>
            </w:r>
          </w:p>
          <w:p w:rsidR="00EB7645" w:rsidRPr="00BE00C7" w:rsidP="00BE00C7">
            <w:pPr>
              <w:pStyle w:val="OutcomeDescription"/>
              <w:spacing w:before="120" w:after="120"/>
              <w:rPr>
                <w:rFonts w:cs="Arial"/>
                <w:b w:val="0"/>
                <w:lang w:eastAsia="en-NZ"/>
              </w:rPr>
            </w:pPr>
            <w:r w:rsidRPr="00BE00C7">
              <w:rPr>
                <w:rFonts w:cs="Arial"/>
                <w:b w:val="0"/>
                <w:lang w:eastAsia="en-NZ"/>
              </w:rPr>
              <w:t>A maintenance person is contracted for 20 hours a week.  There are planned and reactive maintenance systems in place.  Systems are in place for ongoing refurbishment and replacement of equipment.</w:t>
            </w:r>
          </w:p>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1 June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visual inspection of the facility provides evidence of safe storage of medical equipment.  Corridors are wide and residents were observed safely passing each other; safety rails are secure and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A secure external area is provided for residents and residents are protected from risks associated with being outside (e.g., provision of adequate and appropriate seating; provision of shade; and ensuring a safe area is available for recreation or evacuation purposes).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confirm that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verify staff have received education in infection control and prevention at orientation and ongoing education sessions.  A previous corrective action requirement for the infection control nurse to have updated training in infection control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and management occurs in a manner that recognises and meets the residents’ and the families’ communication style, as verified by staff and residents’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is occurring as per the HDSS IC surveillance guide, and is the responsibility of the infection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incidents of infections and the required management plan are presented daily at handover, to ensure early interventions.  Surveillance data is collated and analysed to identify any significant trends, possible causative factors and required actions.    </w:t>
            </w:r>
          </w:p>
          <w:p w:rsidR="00EB7645" w:rsidRPr="00BE00C7" w:rsidP="00BE00C7">
            <w:pPr>
              <w:pStyle w:val="OutcomeDescription"/>
              <w:spacing w:before="120" w:after="120"/>
              <w:rPr>
                <w:rFonts w:cs="Arial"/>
                <w:b w:val="0"/>
                <w:lang w:eastAsia="en-NZ"/>
              </w:rPr>
            </w:pPr>
            <w:r w:rsidRPr="00BE00C7">
              <w:rPr>
                <w:rFonts w:cs="Arial"/>
                <w:b w:val="0"/>
                <w:lang w:eastAsia="en-NZ"/>
              </w:rPr>
              <w:t>Incidents of infections are presented to staff at staff meetings, as evidenced by meeting records, infection control records and staff interviews.  Incidents of infections are benchmarked internally. There have been no recent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reflects the requirements of the restraint minimisation and safe practice standard.  It states that the service aims to minimise the use of restraint and to ensure that if restraint is necessary, to keep the resident safe from harm from both themselves and others and that the practice occurs in a respectful manner. This includes the use of enablers which are voluntary and the least restrictive option to meet the needs of the resident. There was one resident requiring restraint at the time of audit. All appropriate documentation and monitoring schedules were sighted. Interview with the family verified involvement in the restraint approval and review process. A referral has been made for a review of care level for this resident.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 their knowledge and understanding of safe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1"/>
        <w:gridCol w:w="1280"/>
        <w:gridCol w:w="7151"/>
        <w:gridCol w:w="13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practising certificates for GPs, pharmacists and one RN are kept in a folder along with a register of renewal dates.  The personal files for both RNs were reviewed and the recently graduated RN, who works three days a week, has a Certificate of Registration dated 16 December 2015, issued by NZ Nursing Council in their file.  This RN and the facility manager stated an application for a practising certificate was submitted to Nursing Council the week prior to this audit.</w:t>
            </w:r>
          </w:p>
          <w:p w:rsidR="00EB7645" w:rsidRPr="00BE00C7" w:rsidP="00BE00C7">
            <w:pPr>
              <w:pStyle w:val="OutcomeDescription"/>
              <w:spacing w:before="120" w:after="120"/>
              <w:rPr>
                <w:rFonts w:cs="Arial"/>
                <w:b w:val="0"/>
                <w:lang w:eastAsia="en-NZ"/>
              </w:rPr>
            </w:pPr>
            <w:r w:rsidRPr="00BE00C7">
              <w:rPr>
                <w:rFonts w:cs="Arial"/>
                <w:b w:val="0"/>
                <w:lang w:eastAsia="en-NZ"/>
              </w:rPr>
              <w:t>The other RN, who works four days a week, has a current practising certificate and a copy of this was reviewed in their personal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two registered nurses does not have a current practising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recently graduated registered nurse has a current practising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five residents’ files reviewed did not have evidence of an InterRAI assessment completed.  An interview with the Registered nurse (RN) disclosed initial and ongoing interRAI assessments for all residents’ have not been completed.  A recent change in RNs, accessing interRAI training and timeframes has impacted on this, however now the RNs are all trained in interRAI and a process is in place to address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aspects of assessment is not provided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residents have up to date interRAI assessments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Okere House Limited</w:t>
    </w:r>
    <w:bookmarkEnd w:id="58"/>
    <w:r>
      <w:rPr>
        <w:rFonts w:cs="Arial"/>
        <w:sz w:val="16"/>
        <w:szCs w:val="20"/>
      </w:rPr>
      <w:tab/>
      <w:t xml:space="preserve">Date of Audit: </w:t>
    </w:r>
    <w:bookmarkStart w:id="59" w:name="AuditStartDate1"/>
    <w:r>
      <w:rPr>
        <w:rFonts w:cs="Arial"/>
        <w:sz w:val="16"/>
        <w:szCs w:val="20"/>
      </w:rPr>
      <w:t>17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