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Selwyn Oaks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Selwyn Oaks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April 2016</w:t>
      </w:r>
      <w:bookmarkEnd w:id="7"/>
      <w:r w:rsidRPr="009418D4">
        <w:rPr>
          <w:rFonts w:cs="Arial"/>
        </w:rPr>
        <w:tab/>
        <w:t xml:space="preserve">End date: </w:t>
      </w:r>
      <w:bookmarkStart w:id="8" w:name="AuditEndDate"/>
      <w:r w:rsidR="00A4268A">
        <w:rPr>
          <w:rFonts w:cs="Arial"/>
        </w:rPr>
        <w:t>12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Selwyn Oaks is owned and operated by the Selwyn Foundation and cares for up to 66 residents requiring rest home or hospital level care.  On the day of the audit, there were 63 residents.  All residents were under the Age Related Care Contract.  </w:t>
      </w:r>
    </w:p>
    <w:p w:rsidRPr="00A4268A">
      <w:pPr>
        <w:spacing w:before="240" w:line="276" w:lineRule="auto"/>
        <w:rPr>
          <w:rFonts w:eastAsia="Calibri"/>
        </w:rPr>
      </w:pPr>
      <w:r w:rsidRPr="00A4268A">
        <w:rPr>
          <w:rFonts w:eastAsia="Calibri"/>
        </w:rPr>
        <w:t xml:space="preserve"> The service is managed by a village manager who has both management and aged care experience.  The care centre is overseen by the care lead who is a registered nurse with experience in aged care.  She is supported by the group residential care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This audit has identified areas for improvement around the confidentiality of information, staff meeting minutes, timeliness of documentation, interRAI assessments, care planning and care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receives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care lead are responsible for the day-to-day operations.  Goals are documented for the service with evidence of regular reviews.  A quality and risk management programme is embedded.  Data is collected, analysed, discussed and changes made because of trend analysis.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information is provided to residents and family on admission to services.  Resident records reviewed provide evidence that the registered nurses utilise the interRAI and paper based assessments to assess, plan and evaluate care needs of the residents.  Care plans are developed in consultation with the resident and/or family.  Care plans demonstrate service integration and are reviewed at least six monthly.  Resident files include three 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An integrated activities programme is implemented for the rest home and hospital residents.  The programme includes community visitors, outings, entertainment and activities that meets the recreational preferences and abilities of the residents.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 completes education and medicine competencies.  The medicines records reviewed include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 xml:space="preserve">The menu is designed and reviewed by a registered dietitian and all meals are cooked on-site by an external contractor.  Residents' individual needs are identified.  There is a process in place to ensure changes to residents’ dietary needs are communicated to the kitchen.  Regular audits of the kitchen and meal service occur.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Furniture and fittings are selected with consideration to residents’ abilities and functioning.  Residents can and do bring in their own furnishings for their rooms.  The service has policies and procedures for management of waste and hazardous substances and incidents are reported on in a timely manner.  Staff receives training and education to ensure safe and appropriate handling of waste and hazardous substances.  Documented policies and procedures for the cleaning services are implemented with monitoring systems in place to evaluate the effectiveness of these services.  Laundry is completed off-site.  Policies and procedures are in place for essential, emergency and security services, with adequate supplies should a disaster occur.  There is staff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receives training around restraint minimisation and the management of challenging behaviour.  The service has appropriate procedures and documents for the safe assessment, planning, monitoring and review of restraint and enablers.  A register is maintained by the restraint coordinator.  No residents were using restraints and one resident was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50"/>
        <w:gridCol w:w="1280"/>
        <w:gridCol w:w="89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Oaks policies and procedures are being implemented that align with the requirements of the Code of Health and Disability Services Consumers’ Rights (the Code).  Families and residents are provided with information on admission, which includes information about the Code.  Staff receives training about resident rights at orientation and as part of the annual in-service programme.  Interviews with care staff (eight caregivers - three who work across the rest home and hospital, two from the rest home and three from the hospital, four registered nurses (RNs) and one activities coordinator) confirmed their understanding of the Code.  Fifteen residents (seven rest home level and eight hospital level) and three relatives (two hospital level, one rest home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(standard operating procedures) around informed consent and resuscitation and the service is committed to meeting the requirements of the Code of Health and Disability Services Consumers Rights.  There are signed general consents including outings on eight of eight resident files sampled (four rest home and four hospital level of care residents).  Resuscitation treatment plans and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and registered nurses (RN)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chaplain is identified by staff and residents as an advocate.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written and verbal complaints, dates and actions taken.  Complaints are being managed in a timely manner meeting requirements determined by the Health and Disability Commissioner (HDC).  There is evidence of lodged complaints being discussed in management and staff meetings.  All complaints received have been documented as resolved with appropriate corrective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 preferences are identified during the admission and care planning process and this includes family involvement.  Interviews with residents confirmed their values and beliefs were considered.  Interviews with caregivers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Cultural needs are addressed in the care plan.  Residents who identify as Māori confirmed that their cultural needs were being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and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training programme is implemented as per the training plan with training for registered nurses from the DHB and involvement in the ACE programme for all caregivers.  The service benchmarks with other Selwyn Foundation services and uses outcomes to improve resident outcomes.  Feedback is provided to staff via the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registered nurse on each shift and caregivers are described by residents and family as being caring and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nine adverse events reviewed met this requirement.  Family members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Oaks is a Selwyn Foundation aged care facility located in Auckland.  The facility is certified to provide rest home and hospital level care for up to 66 residents.  Twenty-four beds are dedicated to rest home level of care and thirty-one to hospital level care.  Eleven beds are dual 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Sixty-three residents were living at the facility during this audit.  All residents were on the Aged Related Care contract (28 rest home level and 35 hospital level).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strategic plan 2013 - 2017 documents organisational goals and these are reflected in the 2016 Selwyn Oaks business plan, which describes the vision, values and objectives of Selwyn Oaks.  Annual goals are linked to the business plan and reflect regular reviews via regular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aged care management experience.  The care home is primarily overseen by the care lead who is a registered nurse with aged care experience and has been in the role for 11 years.  She is supported by a senior registered nurse and the group residential care manager.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lead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lead covers during the temporary absence of the village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is embedded into practice.  Discussions with the managers (group residential care manager, village manager and care lead), the GP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monthly.  Minutes are maintained but do not always reflect resolution of issues raised.  Annual resident and relative surveys are completed with results communicated to residents and staff.  Corrective action plans have been developed in response to issues raised in the 2015 survey.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standard operating procedures and associated implementation systems to provide a good level of assurance that it is meeting accepted good practice and adhering to relevant standards - including those standards relating to the Health and Disability Services (Safety) Act 2001.  The service's standard operating procedures are reviewed at a national level by the clinical governance group with input from facility staff every two years.  Clinical guidelines are in place to assist care staff.  Updates to standard operating procedures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Key performance areas are benchmarked against other Selwyn facilities.  Quality improvement plans (QIP’s) which are monitored for implementation by head office are developed when service shortfalls are identified.  Results are communicated to staff at staff/quality meetings as reported by staff and management but this is not always documented and meeting minutes did not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and mattress perimeter guards.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 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nine incident/accident forms (a sample from five resident files) identified that forms are fully completed and include follow up by a registered nurse.  Neurological observations are completed for any suspected injury to the head.  The care lead is involved in the adverse event process.  There is a debriefing process for all critical incidents that includes a staff debrief and a review of the incident at the clinical governance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residential care manager was able to identify situations that would be reported to statutory authorities including (but not limited to): infectious diseases, serious accidents and unexpected death.  Five section 31 notifications have been made in 2015 and 2016 to date for fractures (all fractures are reported to the DHB and HealthCERT) and one notification was made around a van accident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Seven staff files reviewed (two registered nurses, a cleaner, the activities coordinator and three caregivers) included a comprehensive recruitment process of reference checking, signed employment contracts and job descriptions,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copy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 training plan is implemented using a ‘train the trainer’ model where key staff are trained to provide education sessions on subjects that cover a number of required trainings.  Aspects of training are provided during full day training sessions.  Incidental training is provided according to identified need and at staff request.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There are implemented competencies for registered nurses including (but not limited to): medication competencies, restraint competencies, controlled drug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There are three registered nurses on morning shift, two on afternoon shift and one on night shift.  A registered nurse from the management team is on call at all times.  Activities are provided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were attending to call bells in a timely manner as confirmed by all residents interviewed.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not always kept confidential and at times could be viewed by other residents or members of the public.  Resident files are protected from unauthorised access.  Entries are legible, dated and signed by the relevant caregiver or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around entry to services.  The service provides an information pack on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assess all residents on entry to service and information gained is included in the resident records.  Registered nurses interviewed were able to describe the entry and admission process.  The GP is notified of new admissions.  </w:t>
            </w:r>
          </w:p>
          <w:p w:rsidR="00EB7645" w:rsidRPr="00BE00C7" w:rsidP="00BE00C7">
            <w:pPr>
              <w:pStyle w:val="OutcomeDescription"/>
              <w:spacing w:before="120" w:after="120"/>
              <w:rPr>
                <w:rFonts w:cs="Arial"/>
                <w:b w:val="0"/>
                <w:lang w:eastAsia="en-NZ"/>
              </w:rPr>
            </w:pPr>
            <w:r w:rsidRPr="00BE00C7">
              <w:rPr>
                <w:rFonts w:cs="Arial"/>
                <w:b w:val="0"/>
                <w:lang w:eastAsia="en-NZ"/>
              </w:rPr>
              <w:t>Eight signed admission agreements were sighted and all had been signed.  The agreement aligns to the service contracts and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The procedures include a transfer/discharge form and ‘the yellow envelope’ is used.  The RNs report that they include copies of all the required information in the envelope.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(standard operating procedures) in place for all aspects of medication management, including self-administration.  The RN’s check all medications on delivery against the medication and any pharmacy errors are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responsible for the administering of medications and have completed annual medication competencies and annual medication education.  Caregivers who act as a second checker also complete a medication competency.  There were two self-medicating rest home residents on the day of audit.  Self-medicating competency, three monthly reviews and monitoring was in place.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room was clean and well organised, all medications were in date and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Photo identification and allergy status was evident on all charts.  All medication charts had been reviewed by the GP at least three monthly.  All resident medication administration signing sheets corresponded with the medication chart.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Residents are provided with a balanced diet, which meets their cultural and nutritional requirements.  The food service is contracted to an external provider.  The meals are cooked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contractor has a summer and winter menu reviewed by a registered dietitian as per the contract and they also provide dietetic input into the provision of special menus and diets where required.  A dietary assessment is completed on all residents at the time they are admitted.  Residents with special dietary needs have these needs identified.  Resource information on these diets is available in the kitchen and via the dietitian.  Resident forums discuss food and feedback is given.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praised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such as lipped plates/assist cups/grip and built up spoons and on observing mealtimes, it was noted there were sufficient staff to assist residents.  </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well organised and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to the service is recorded and should this occur, the service stated it would be communicated to the resident/family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 variety of assessment tools on admission along with an interRAI assessment.  Assessments reviewed included falls, pressure risk, dietary needs, continence, pain, mobility, cognitive and depression.  All resident files sampled had an interRAI assessment but two had conflicting information within the assessment.  The outcomes of these assessments were not always reflected in long-term care plans reviewed (link to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were evidenced as completed with ongoing monitoring recorded, for residents requiring administration of controlled medication as part of prescribed pain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were resident focused, integrated and promoted continuity of service delivery.  Not all long-term care plans documented all required resident needs.  The facility uses an integrated document system where the GP, nurse practitioner, allied services, the RNs, occupational therapist, activities assistant, physiotherapist and other visiting health providers write their care notes in the resident file.</w:t>
            </w:r>
          </w:p>
          <w:p w:rsidR="00EB7645" w:rsidRPr="00BE00C7" w:rsidP="00BE00C7">
            <w:pPr>
              <w:pStyle w:val="OutcomeDescription"/>
              <w:spacing w:before="120" w:after="120"/>
              <w:rPr>
                <w:rFonts w:cs="Arial"/>
                <w:b w:val="0"/>
                <w:lang w:eastAsia="en-NZ"/>
              </w:rPr>
            </w:pPr>
            <w:r w:rsidRPr="00BE00C7">
              <w:rPr>
                <w:rFonts w:cs="Arial"/>
                <w:b w:val="0"/>
                <w:lang w:eastAsia="en-NZ"/>
              </w:rPr>
              <w:t>All resident care plans were resident focused.  Family members interviewed agreed that they had been involved in the care planning development and review process.  Short-term care plans were in place for acute and short term conditions and had been evaluated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nursing and lifestyle care plans in place (link 1.3.5.2).  When a resident’s condition changes, the RN initiates a GP/NP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plans included an assessment, wound management and evaluation forms and a short-term care plan.  Six wounds were documented on the day of audit; five skin tears (all rest home level) and one blister (hospital level).  There were no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and examples sighted included (but not limited to): weight and vital signs, blood glucose, pain, food and fluid, turning charts and behaviour monitoring as required.  However, monitoring and interventions were not always constantly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full-time occupational therapist (OT) plus an activities assistant three days a week.  Activities are provided five days a week and music recitals, movies and church services are arranged for the weekends.  A wide range of activities, addressing the abilities and needs of residents in the hospital and rest home, were offered.  Activities included physical, mental, spiritual and social aspects of life to improve and maintain residents’ wellbeing.  The programme timetable was available to all, along with additional eye catching material promoting specific activities to tempt residents to join in.  Selwyn Oaks has implemented evening programmes to support residents with ‘sun downing’.</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active with the Eden philosophy and this was evident through the smaller home-like resident bays.  Residents were observed taking part in the day-to-day service (such as assisting with meals and gardening).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an activity coordinator completes an assessment for each resident and an activity plan is completed.  A record is kept of individual resident’s activities and progress notes completed monthly.  Reviews are conducted six monthly (or earlier should the residents condition determine) as part of the care plan evaluation/review.  The resident/family/EPOA as appropriate is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they enjoyed the variety of activities and were satisfied with the activities programme.  Activities included outings as well as community involvement.  Some of those included in activities offered are Christian groups, trips to local restaurants, pet therapy, musicians, yoga and Tai Chi.  There are volunteers that assist with a variety of activities including van outings.  The clown doctors’ service has recently begun regular visits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 of the residents.  A forum is held monthly where residents and relatives have input.  Minutes are recorded at the forum, quality improvements identified and feedback given.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evidenced that long-term care plans had been reviewed six monthly and were updated when needs changed.  Clinical reviews were documented in the multidisciplinary review (MDR) records, which included input from the GP, RNs, OT, activities assistant, physio and resident/family.  Progress notes were completed and reflected response to interventions and treatments.  Changes to care were documented with exceptions (link 1.3.5.2).  Documentation of GP visits were evidence that reviews were occurring at least three monthly.  Short-term care plans were in use for short term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and/or their family/whānau are involved as appropriate when referral to another service occurs.  Registered nurses interviewed described the referral process should they require assistance from specialist practitioners.  The review of resident folders included evidence of recent referrals.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contains documented policies and procedures for the safe and appropriate storage and disposal of waste and hazardous substances.  The health and safety manual includes policy around safe storage and handling of chemicals.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secured in designated locked cupboards.  Chemicals are labelled and safety data sheets were available throughout the facility and accessible to staff.  Chemicals were observed to be secured in sluice room cupboards and the laundry chemical storage room.  Safe chemical handling training has been provided.  Personal protective equipment/clothing (including disposable gloves, aprons and goggles) was sighted in all high risk areas.  Staff were observed wearing disposable gloves and aprons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knowledge of handling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There is a maintenance work notification book for staff to communicate with maintenance staff on issues and areas that requires attention.  A preventative maintenance schedule has been commenced for the service.  Hot water temperatures are monitored and recorded monthly.  Electrical equipment is tested and tagged.  All hoists have been checked and serviced and medical equipment has been calibrated and checked.  The facility van is registered and each has a current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moving easily around the building with walking aids, wheelchairs and independently.</w:t>
            </w:r>
          </w:p>
          <w:p w:rsidR="00EB7645" w:rsidRPr="00BE00C7" w:rsidP="00BE00C7">
            <w:pPr>
              <w:pStyle w:val="OutcomeDescription"/>
              <w:spacing w:before="120" w:after="120"/>
              <w:rPr>
                <w:rFonts w:cs="Arial"/>
                <w:b w:val="0"/>
                <w:lang w:eastAsia="en-NZ"/>
              </w:rPr>
            </w:pPr>
            <w:r w:rsidRPr="00BE00C7">
              <w:rPr>
                <w:rFonts w:cs="Arial"/>
                <w:b w:val="0"/>
                <w:lang w:eastAsia="en-NZ"/>
              </w:rPr>
              <w:t>There are outside courtyard areas with seating, tables and shaded areas that are easily accessible.  All hazards have been identified in the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communal showers and communal toilets for residents.  Some resident rooms have a full ensuite and some have a toilet and basin.  Resident rooms have hand-washing facilities with soap dispensers and paper towels.  Communal bathroom and toilet facilities have a system that indicates if it is engaged or vacant.  Privacy is further maintained by additional curtains behind doors in some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an adequate size to allow care to be provided and for the safe use and manoeuvring of mobility aids.  Transfer of residents can occur on an ambulance stretcher and equipment can be transferred between rooms.  Mobility aids can be managed in communal 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can be personalised with furnishings, photos and other personal adornments and the service encouraged residents to make the room their own.  </w:t>
            </w:r>
          </w:p>
          <w:p w:rsidR="00EB7645" w:rsidRPr="00BE00C7" w:rsidP="00BE00C7">
            <w:pPr>
              <w:pStyle w:val="OutcomeDescription"/>
              <w:spacing w:before="120" w:after="120"/>
              <w:rPr>
                <w:rFonts w:cs="Arial"/>
                <w:b w:val="0"/>
                <w:lang w:eastAsia="en-NZ"/>
              </w:rPr>
            </w:pPr>
            <w:r w:rsidRPr="00BE00C7">
              <w:rPr>
                <w:rFonts w:cs="Arial"/>
                <w:b w:val="0"/>
                <w:lang w:eastAsia="en-NZ"/>
              </w:rPr>
              <w:t>There was room to store mobility aids such as walking frames in the bedroom safely during the day and night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number of communal lounge/dining areas.  There are smaller seating areas for residents and families around the facility.  Furniture in all areas is arranged to allow residents to freely mobilise.  Residents and families interviewed agreed that the service is spacious and residents may stay in their own wings or join in any of the communal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off-site except some rest home personal laundry items.  Residents and relatives expressed satisfaction with cleaning and laundry services.  The service has secure cupboards for the storage of cleaning chemicals.  Chemicals are labelled.  Material safety data sheets are displayed.  Cleaning processes are monitored for effectiveness and compliance with the service policies and procedures.  Cleaning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Emergency preparedness plans are accessible to staff and includes management of all potential emergency situations.  The service has implemented policies and procedures for civil defence and other emergencies.  The service has civil defence resources and supplies.  There are sufficient first aid and dressing supplies available.  The service has an approved fire evacuation scheme.  Fire evacuation training and drills are conducted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equipment, water and food are available </w:t>
            </w:r>
          </w:p>
          <w:p w:rsidR="00EB7645" w:rsidRPr="00BE00C7" w:rsidP="00BE00C7">
            <w:pPr>
              <w:pStyle w:val="OutcomeDescription"/>
              <w:spacing w:before="120" w:after="120"/>
              <w:rPr>
                <w:rFonts w:cs="Arial"/>
                <w:b w:val="0"/>
                <w:lang w:eastAsia="en-NZ"/>
              </w:rPr>
            </w:pPr>
            <w:r w:rsidRPr="00BE00C7">
              <w:rPr>
                <w:rFonts w:cs="Arial"/>
                <w:b w:val="0"/>
                <w:lang w:eastAsia="en-NZ"/>
              </w:rPr>
              <w:t>Call bells were situated in all communal areas, toilets, bathrooms and personal bedrooms.  Residents were sighted to have call bells within reach during the audit.  The service has a visitor’s book at reception for all visitors including contractors to sign in and out.  Appropriate security systems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Oaks has an established infection control programme.  The infection control programme, its content and detail, is appropriate for the size, complexity and degree of risk associated with the service.  It is linked into the incident reporting system and the Selwyn KPI’s.  A registered nurse is the designated infection control nurse with support from the care lead and all staff through the quality meeting acting as the infection control team.  Minutes are available for staff.  Audits have been conducted and include hand hygiene and infection control practices.  Education is provided for all new staff on orientation.  The Selwyn Foundation infection control programme was last reviewed in September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Selwyn Oaks is the designated infection control (IC) nurse.  There are adequate resources to implement the infection control programme for the size and complexity of the organisation.  The IC nurse and IC team (comprising all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Selwyn Foundation infection control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Selwyn clinical governance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through the Selwyn infection control coordinators bi-annual meeting/training days.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Selwyn’s infection control manual.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 to a monthly infection summary.  This data is monitored and evaluated monthly and annually and provided to Selwyn head office for benchmarking.  Infections are part of the key performance indicators.  Outcomes and actions are discussed at quality/staff meetings.  If there is an emergent issue, it is acted upon in a timely manner.  Reports are easily accessible to the care lead.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using an enabler (a lap belt) and no residents with restraints during the audit.  The resident had signed consent for the use of the enabler.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22"/>
        <w:gridCol w:w="1280"/>
        <w:gridCol w:w="4940"/>
        <w:gridCol w:w="4519"/>
        <w:gridCol w:w="14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holds monthly resident meetings, monthly combined quality and staff meetings and monthly registered nurse forums.  Minutes are kept for all meetings.  Staff and residents interviewed report issues raised are followed up.  Staff and management reported quality data trends including infection control, incidents, audit outcomes and complaints are discussed in meetings.  Meeting minutes do not always reflect resolution of issues raised or discussions around trend analysis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staff/quality meeting minutes do not document resolution of issues raised.  Staff/quality meeting minutes do not document discussion around trend analysis outcomes for infections and incidents and RN forum meeting minutes do not document discussion around incident trend analysis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resolution of issues raised and outcomes of quality data analysis are discussed and documented for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main files are kept in the nurse’s office, which is locked when not attended and no whiteboards or similar containing resident information could be viewed.  There is a caregiver folder, which contains the care plan summary for the residents in each wing, which is kept in each wing.  These were not locked away when not being used in some wings.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audit, three caregiver folders containing confidential resident information were sighted being left in places where visitors or residents could access them.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confidential resident information is not publically accessible.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to services, RNs undertake a wide range of paper based assessments, such as pain, Waterlow, continence and falls.  From the sample of files reviewed, three rest home residents had been admitted since June 2015.  One rest home resident had an interRAI assessment completed within 21 days and one rest home resident had a long-term care plan completed within 21 days.  All residents (rest home and hospital) who had been in the service for over six months had six monthly care plan reviews and MDT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rest home residents did not have an interRAI assessment or a long-term care plan completed within 21 days of admission.  Both had an interRAI assessment and long-term care plan completed at the time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initial interRAI is documented within three weeks of admission and that the long-term care plan is documented within three weeks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embedding the use of interRAI for both initial assessments and for ongoing re-assessment and MDT/care plan reviews.  Paper based assessments continue to be undertaken to assist the care planning process.  Six of eight interRAI assessments sampled reflected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interRAI assessments (one hospital and one rest home) contained contradictory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assessment process is consistent and appropriate to the needs of the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had a nursing care plan, as well as a lifestyle care plan summary however, not all care plans reflected all resident needs.  The summary care plans are intended for caregivers to follow when providing resident cares.  Care staff interviewed stated they have access to both care plans as needed.  Staff interviewed were aware of the interventions needed.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 the rest home level care plans: one resident on insulin did not have the recognition and treatment for hypoglycaemia documented in the lifestyle care plan; one resident with re-occurring nose bleeds did not have the interventions needed in the event of a nose bleed documented in the lifestyle care plan; and one resident with behaviours that challenge did not have interventions documented to manage the behaviour in the lifestyle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hospital level care plans: one resident did not have interRAI interventions documented in the care plan(s) (such as safety when toileting and regular toileting), for this same resident the management of pain and the need to encourage fluids were not documented; one resident did not have the risk of choking and interventions documented in the care plan(s); and one resident on insulin did not have the recognition and treatment of hypoglycaemia documented in the lifestyle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care plans in the hospital and rest home all had evidence of care plan updating, however previous interventions had not always been crossed out.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the support needs to manage resident care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 with family members’ evidences that the standard of care is high and that staff make all efforts to ensure the safety and comfort of the residents.  The GP stated that the standard of care was very good.  Monitoring and interventions were not always documented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 home level resident who required daily weight monitoring did not have this documented; and one hospital level resident who required twice daily walks did not have this intervention documented as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 and support interventions are undertaken as directed.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Selwyn Oaks</w:t>
    </w:r>
    <w:bookmarkEnd w:id="58"/>
    <w:r>
      <w:rPr>
        <w:rFonts w:cs="Arial"/>
        <w:sz w:val="16"/>
        <w:szCs w:val="20"/>
      </w:rPr>
      <w:tab/>
      <w:t xml:space="preserve">Date of Audit: </w:t>
    </w:r>
    <w:bookmarkStart w:id="59" w:name="AuditStartDate1"/>
    <w:r>
      <w:rPr>
        <w:rFonts w:cs="Arial"/>
        <w:sz w:val="16"/>
        <w:szCs w:val="20"/>
      </w:rPr>
      <w:t>11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