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Kandahar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Kandahar Court||Kandahar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2016</w:t>
      </w:r>
      <w:bookmarkEnd w:id="7"/>
      <w:r w:rsidRPr="009418D4">
        <w:rPr>
          <w:rFonts w:cs="Arial"/>
        </w:rPr>
        <w:tab/>
        <w:t xml:space="preserve">End date: </w:t>
      </w:r>
      <w:bookmarkStart w:id="8" w:name="AuditEndDate"/>
      <w:r w:rsidR="00A4268A">
        <w:rPr>
          <w:rFonts w:cs="Arial"/>
        </w:rPr>
        <w:t>19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64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Kandahar is part of the Presbyterian Support Central group and provides rest home, hospital and dementia care for up to 88 residents.  On the day of the audit there were 64 residents.  The service is managed by a facility manager (non- clinical) and two care managers.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four of seven shortfalls from the previous certification audit relating to policy reviews for medication and restraint and restraint documentation and practice.  Improvements continue to be required in relation to conducting neurological observations, resident assessments and medication management practices. </w:t>
      </w:r>
    </w:p>
    <w:p w:rsidRPr="00A4268A">
      <w:pPr>
        <w:spacing w:before="240" w:line="276" w:lineRule="auto"/>
        <w:rPr>
          <w:rFonts w:eastAsia="Calibri"/>
        </w:rPr>
      </w:pPr>
      <w:r w:rsidRPr="00A4268A">
        <w:rPr>
          <w:rFonts w:eastAsia="Calibri"/>
        </w:rPr>
        <w:t xml:space="preserve">This surveillance audit identified that improvements are required in relation to frequency of meetings, care interventions, activities plans, evaluations and medication prescribing.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processes are implemented and complaints and concerns are managed and documented.  .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PSC Kandahar continues to implement the Presbyterian Support Services Central quality and risk management system that supports the provision of clinical care.  Key components of the quality management system link monthly senior team meetings.  An annual resident satisfaction survey is completed and there are regular resident meetings.  There are human resources policies including recruitment, selection, orientation and staff training and development.  The service has a documented induction programme.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recreation team provide an activities programme for the residents that is varied, interesting and involves the family/whānau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are responsible for administration of medicines and complete education and medication competencies. </w:t>
      </w:r>
    </w:p>
    <w:p w:rsidRPr="00A4268A" w:rsidP="00621629">
      <w:pPr>
        <w:spacing w:before="240" w:line="276" w:lineRule="auto"/>
        <w:rPr>
          <w:rFonts w:eastAsia="Calibri"/>
        </w:rPr>
      </w:pPr>
      <w:r w:rsidRPr="00A4268A">
        <w:rPr>
          <w:rFonts w:eastAsia="Calibri"/>
        </w:rPr>
        <w:t>All meals are prepared on site.  Food, fridge and freezer temperatures are recorded.  Individual and special dietary needs are catered for.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service had no residents requiring enablers and five residents assessed as requiring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3"/>
        <w:gridCol w:w="1280"/>
        <w:gridCol w:w="103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resident/family.  The facility manager leads the investigation and management of complaints (verbal and written).  There is a complaints register that records activity.  Complaints are discussed at the monthly senior management team meeting and the monthly staff meetings.  Complaints forms are visible around the facility on noticeboards.  There were five documented complaints in 2015 and 2016 year to date.  Follow up letters, investigation and outcomes were documented.  Discussion with residents and relatives confirmed they were aware of how to make a complaint.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five residents (two from the hospital and three from the rest home) and three family members (one hospital, one rest home and one dementia) confirmed they were given time and explanation about services and procedures on admission.  Resident meetings occur quarterly and the facility manager and care managers have an open door policy.  Accident/incident forms have a section to indicate if family have been informed (or not) of an accident/incident.  Twelve accident/incident forms sampled from January and February 2016 identify that family were notified following a resident incident.  Interview with five health care assistants (HCA), four registered nurses (RN) and two care managers confirmed that family members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relatives interviewed confirmed family have been informed when the resident health status changes.  The service has an interpreter policy to guide staff in accessing interpreter services.  Dementia residents and their families were also given information regarding PSC policy on the management of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Homes are part of the Presbyterian Support Central organisation (PSC).  The service provides rest home, hospital and dementia care levels of care for up to 88 residents between Kandahar Home (33 rest home beds and 30 hospital beds) and Kandahar Court (25 dementia care beds).  On the day of the audit there were 64 residents.  There were 23 rest home level residents, 21 hospital level resident and 20 dementia care residents.  There was no respite or younger person’s residents or residents on the medical component.  All residents were on the ARC contract.  Kandahar has a 2015-2016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taken to the monthly senior management team meeting.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away on the day of the audit.  The facility manager (non-clinical) has been in the role for three years and is responsible for the daily operations of both Kandahar facilities, the support staff and recruitment.  He is supported by a quality co-ordinator (RN) who has been in the role for four years.  There is a care manager (RN) at each site and both are experienced in aged care.  The facility manager is supported by a regional manager (non-clinical) who visits the site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The monthly and annual reviews of this programme reflect the service’s ongoing progress around quality improvement.  There is a meeting schedule including monthly senior management team meetings that includes discussion about accident and incident trends, internal audit outcomes, infection trends and complaints.  Meeting minutes and reports are provided to the quality improvement (full facility) meeting, actions are identified in minutes and quality improvement forms which are being signed off and reviewed for effectiveness.  Registered nurse meetings and Eden Alternative meetings have not been held as planned.  Health and safety, infection control and restraint meetings occur three monthly.  Resident/family meetings are held for Kandahar Home three monthly and for families (of both homes)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and accidents/incidents are also being documented on an electronic database.  The service has a health and safety management system and this includes a health and safety rep that has completed health and safety training.  Monthly reports are completed and reported to meetings and at the quarterly health and safety committee meeting.  Health &amp; Safety meetings include identification of hazards and accident/incident reporting and trends.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A document control system is in place.  A policy has been developed/updated to manage InterRAI requirements.  The policy for the use of enablers aligns with the restraint minimisation and safe practice for the 2008 Health and Disability Sector Standards.  The medication policy around timeframes for staff for medication competencies aligns with the Ministry of Health medication guidelines.  The previous audit finding related to the enabler and medication policies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have been completed as per company schedule which included an analysis and the development of corrective action plans.  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  Quality and senior team meeting minutes include an analysis of incident and accident data and corrective actions.  The previous audit shortfall remains a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includes recruitment. Staff selection process requires that relevant checks are completed to validate the individual’s qualifications, experience and veracity.  A copy of practising certificates is kept.  Eight staff files were reviewed (one care manager, two RNs, one cook, one recreational therapist, one cleaner, and two HCA’s).  All files contained a current position description and employment agreements.  Annual appraisals have been completed and are up to date.  The service has an orientation programme available that provides new staff with relevant information for safe work practice.  Staff report that a buddied orientation period is undertaken by all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is being implemented.  The majority of HCA’s have completed an aged care education programme.  Staff attend annual compulsory study days which includes training around the Eden alternative programme.  The care managers and RN’s are able to attend external training.  Eight hours of staff development or in-service education has been provided annually.  All individual records and attendance numbers are maintained.  There are 20 heath care assistants on the roster in the dementia unit and all have completed their Limited Credit Dementia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and care managers work full time.  Registered nurses cover each 24 hour period in the hospital area.  Agency staff are used to provide cover for sickness if necessary.  The HCA numbers per area are adequate.  In the dementia unit there is an RN rostered on 7 days a week, 8.00am to 4.30pm Monday to Friday and in the weekends 7.00am to 3.30pm.  Interviews with HCA’s, residents and family members identify that staffing is adequate to meet the needs of residents.  Staff levels and skill mix are meeting contract and industry norm requirements.  Staffing levels are benchmarked against other PSC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(four rest home, four hospital, and two dementia).  There are policies and procedures in place for safe medicine management.  All clinical staff who administers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was one resident self-medicating on the day of audit whose management and practice aligns with organisational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medication charts sampled met legislative prescribing requirements.  The medication charts reviewed identified that the GP had reviewed the medication at least three monthly.  Separate signing sheets for weekly and monthly medication were not being used.  The previous audit findings relating to medication prescribing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Kandahar are prepared and cooked on site.  There is a four weekly seasonal menu which had been reviewed by a dietitian.  Meals are delivered to the dining area.  Dietary needs are known with individual likes and dislikes accommodated.  Pureed, gluten free and diabetic desserts are provided.  Cultural and religious food preferences are met.  Nutritious snacks are available 24 hours a day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Temperatures are recorded daily of meals before serving.  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personal needs information is gathered during admission in consultation with the resident and their relative where appropriate.  InterRAI assessments were not all completed within 21 days of admission or following a change in health condition (Link 1.3.3).  There was evidence that assessments were reviewed at least six monthly.  The information gathered from nursing assessments was not always used to inform care planning.  The previous audit finding related to assessments meeting contractual and resident requirements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not all short term care plans were commenced with a change in heath condition.  Short term care plans sampled were linked to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had interventions documented in their care plan to meet their assessed care needs.  Not all interventions were documented in the care plans and accident/incident forms were followed (link # 1.2.4.3).  Not all interventions being implemented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provide individual and group activities in the rest home, hospital and dementia care units seven days per week.  The recreation programme is supported by a team of volunteers.  The recreational programme provides individual and group activities that are meaningful and reflect ordinary patterns of life.  There are regular outings/drives, inter-home visits for all residents (as appropriate) and involvement in community events.  One on one activities occur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Not all files reviewed had a documented recreational plan and not all recreational plans had been reviewed six monthly at the same time as the care plans were reviewed.  There were 24 hour activity plans documented for residents in the dementia unit.  Activity participation was noted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and one on 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were documented and evaluated by the RN within three weeks of admission.  Long term care plans had been reviewed at least six monthly or earlier for any health changes, however, not all evaluations had reviewed all nursing assessment information.  The GP and nurse practitioner reviews the residents at least three monthly or earlier if required.  Evidence of three monthly GP reviews were not seen in all residents’ files sampled.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1 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five hospital residents using restraints (two lap belts and three bedrails) and no residents using enablers.  Documentation was reviewed for five residents using a restraint and evidences assessment, authorisation, consent, planning, monitoring and review of the devices aligns with the policy guidelines.  The previous audit finding related to restraint minimisation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restraint or enabler interventions.  These were undertaken by suitably qualified and skilled staff, in partnership with the family/whānau, in the five restraint files sampled.  The restraint coordinator, the resident and/or their representative and a medical practitioner were involved in the assessment and consent process.  In the files reviewed, assessments and consents were fully completed.  The risks associated with the use of the restraint were documented and care interventions documented to manage the risks.  The previous audit finding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There is an assessment form/process that is completed for all restraints and enablers.  The service has a restraint and enablers register which is updated each month.  Monitoring forms that included regular monitoring at the frequency determined by the risk level were present in the files reviewed.  Appropriate documentation related to safe restraint practice has been completed.  The previous finding related to restraint monitoring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0"/>
        <w:gridCol w:w="1280"/>
        <w:gridCol w:w="3158"/>
        <w:gridCol w:w="5241"/>
        <w:gridCol w:w="19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senior management team, monthly quality improvement (full facility) meetings.  Registered nurse and Eden alternative meetings are scheduled to be held monthly but these have not routinely occurred.  Health and safety, infection control and restraint meetings occur three monthly.  Resident/family meetings are held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 and registered nurses meetings are scheduled to be monthly.  There is no evidence of Eden meetings being held for July to December 2015.  Eden meetings were cancelled for January, February and May 2015.  There was no evidence of a registered nurses meeting for December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scheduled meetings are held.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incident/accident report is completed which includes an analysis of data collected.  Accident/incident forms were sampled from January and February 2016.  One of six residents who suffered an unwitnessed fall had neurological observations and assessment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residents who suffered an unwitnessed fall did not have neurological assessments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commenced and completed for all falls with possible or suspected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 care assistants who have completed the PSC medication competency administer medication.  Once medication has been administered it is signed for on the medication signing sheet generated by the pharmacy.  Not all medication administered was being signed for correctly.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was charted weekly Overstin cream and monthly Calciform.  Both these medications were being signed as given for on the regular blister packaged signing sheet with each regular blister pack medication time.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weekly and monthly medication has a separate signing sheet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medication files reviewed the GP had prescribed all medication to be administered to the resident on admission.  Four of ten medication charts reviewed evidenced that “as required” medications had been charted correctly.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out of ten medication charts reviewed did not have indications for use charted for as required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of ten medication charts reviewed had an indication for use written by the registered nurse that was not signed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 required medication prescribing meets all contractual and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information is gathered from the resident, family, needs assessment service, the interRAI and from risk assessments conducted after admission and with a change in health condition.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nursing assessments and long term care plan were not updated following a change in care level for one respite resident transferred to rest home care and one rest home resident transferred to hospital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of two rest home resident files reviewed documented the resident was admitted in October 2015 but was not commenced on the interRAI until February 2016.  The second rest home file reviewed documented the resident was admitted in October 2015 and had not  been commenced on the interRAI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nursing assessments are reviewed and the long term care plan is updated following a change in care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interRAI assessments are completed and reviewed according to the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when the care plan is reviewed and with a change in health condition.  Interventions were fully documented in the care plan for one rest home resident and one dementia resident files reviewed.  Not all documented interventions were fully implemented or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i)Fifteen of fifteen wound care plans reviewed did not have a) an initial or ongoing wound assessments documented with each dressing change, b) specific interventions documented for management of the wound (frequency of dressing change, care of the wound bed) and c) evaluations of the wound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Long term and short term care plan interventions did not fully describe the care requirements for two hospital residents with weight loss, one dementia resident (tracer) with a change in health condition. One hospital resident (tracer) whose care plan states is fully mobile however, the mobility and handling assessment notes state the resident no longer walks.  This same resident (hospital tracer) is currently using a pressure relieving mattress however, this was not recorded in the care plan, and one rest home resident whose assessed falls risk assessment and use of a sensor mat had not been transferred to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and iii) Monitoring, as requested in the care plan, was not documented for one hospital resident with weight loss who was to have food and fluid intake recorded and one hospital resident (tracer) requiring two hourly repositioning.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wound care plans are fully documented and wound care documentation complies fully with the PSC wound management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long term and short term care plans include all interventions required for residents noted in the progress notes are transferred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And iii) ensure that all monitoring is conducted and recorded as per care plan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leader completes an activity/recreational assessment on admission and develops an individualised recreation plan.  Two of five resident files reviewed evidenced a recreational plan.  One of two activity/recreational plans was reviewed at the same time as the long 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five resident files reviewed did not have an activity/recreational assessment documented or an activity/recreational care plan completed.</w:t>
            </w:r>
          </w:p>
          <w:p w:rsidR="00EB7645" w:rsidRPr="00BE00C7" w:rsidP="00BE00C7">
            <w:pPr>
              <w:pStyle w:val="OutcomeDescription"/>
              <w:spacing w:before="120" w:after="120"/>
              <w:rPr>
                <w:rFonts w:cs="Arial"/>
                <w:b w:val="0"/>
                <w:lang w:eastAsia="en-NZ"/>
              </w:rPr>
            </w:pPr>
            <w:r w:rsidRPr="00BE00C7">
              <w:rPr>
                <w:rFonts w:cs="Arial"/>
                <w:b w:val="0"/>
                <w:lang w:eastAsia="en-NZ"/>
              </w:rPr>
              <w:t>ii) One of five files reviewed did not have the activity/recreational care plan reviewed in conjunction with the long 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residents have a documented activity/recreational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activity/recreational care plans are reviewed in conjunction with the review of the long term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undertakes a review of the long term care plan at least six monthly or with a change in health condition.  The review process includes a review of the nursing assessments completed.  Four of five long term care plan reviews evidenced a review of all recently completed nursing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undertakes a review of the resident at least 3 monthly.  Three of five files evidenced that three monthly reviews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care plan evaluation for one hospital resident completed in January 2016 documented no weight loss over the review period, however the weight monitoring recorded from November to January showed a 3kg weight loss. </w:t>
            </w:r>
          </w:p>
          <w:p w:rsidR="00EB7645" w:rsidRPr="00BE00C7" w:rsidP="00BE00C7">
            <w:pPr>
              <w:pStyle w:val="OutcomeDescription"/>
              <w:spacing w:before="120" w:after="120"/>
              <w:rPr>
                <w:rFonts w:cs="Arial"/>
                <w:b w:val="0"/>
                <w:lang w:eastAsia="en-NZ"/>
              </w:rPr>
            </w:pPr>
            <w:r w:rsidRPr="00BE00C7">
              <w:rPr>
                <w:rFonts w:cs="Arial"/>
                <w:b w:val="0"/>
                <w:lang w:eastAsia="en-NZ"/>
              </w:rPr>
              <w:t>ii) Two of five files sampled did not evidence that the three monthly GP reviews had been consistently completed within the required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review of the long term care plan includes a review of all relevant assessments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GP reviews the resident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Kandahar</w:t>
    </w:r>
    <w:bookmarkEnd w:id="58"/>
    <w:r>
      <w:rPr>
        <w:rFonts w:cs="Arial"/>
        <w:sz w:val="16"/>
        <w:szCs w:val="20"/>
      </w:rPr>
      <w:tab/>
      <w:t xml:space="preserve">Date of Audit: </w:t>
    </w:r>
    <w:bookmarkStart w:id="59" w:name="AuditStartDate1"/>
    <w:r>
      <w:rPr>
        <w:rFonts w:cs="Arial"/>
        <w:sz w:val="16"/>
        <w:szCs w:val="20"/>
      </w:rPr>
      <w:t>18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