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Johns Hill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Johns Hill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Johns Hill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April 2016</w:t>
      </w:r>
      <w:bookmarkEnd w:id="7"/>
      <w:r w:rsidRPr="009418D4">
        <w:rPr>
          <w:rFonts w:cs="Arial"/>
        </w:rPr>
        <w:tab/>
        <w:t xml:space="preserve">End date: </w:t>
      </w:r>
      <w:bookmarkStart w:id="8" w:name="AuditEndDate"/>
      <w:r w:rsidR="00A4268A">
        <w:rPr>
          <w:rFonts w:cs="Arial"/>
        </w:rPr>
        <w:t>7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John’s Hill Healthcare is a privately owned facility in Whanganui. The facility can provide a range of aged residential care services under contract to the Whanganui District Health Board including rest home, hospital (both medical and geriatric), intermediate care and palliative care services to the Taranaki District Health Board. </w:t>
      </w:r>
    </w:p>
    <w:p w:rsidRPr="00A4268A">
      <w:pPr>
        <w:spacing w:before="240" w:line="276" w:lineRule="auto"/>
        <w:rPr>
          <w:rFonts w:eastAsia="Calibri"/>
        </w:rPr>
      </w:pPr>
      <w:r w:rsidRPr="00A4268A">
        <w:rPr>
          <w:rFonts w:eastAsia="Calibri"/>
        </w:rPr>
        <w:t xml:space="preserve">Up to 56 residents can be accommodated and all beds are reported to be dual purpose. 54 beds were occupied on the day of this unannounced surveillance audit with 30 residents at rest home level and 24 at hospital level, which included one person under the intermediate care contract. </w:t>
      </w:r>
    </w:p>
    <w:p w:rsidRPr="00A4268A">
      <w:pPr>
        <w:spacing w:before="240" w:line="276" w:lineRule="auto"/>
        <w:rPr>
          <w:rFonts w:eastAsia="Calibri"/>
        </w:rPr>
      </w:pPr>
      <w:r w:rsidRPr="00A4268A">
        <w:rPr>
          <w:rFonts w:eastAsia="Calibri"/>
        </w:rPr>
        <w:t xml:space="preserve">This audit has identified that improvements are required in relation to ensuring that all interRAI assessments are kept up to date and that documentation in relation to the self-administration of some medications is completed and current.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with residents and family members is open and records are maintained to record this. When needed, information about adverse events and complaints is reported formally and respectfully. Complaint forms are accessible in the facility. The complaints register is current and complaints reviewed demonstrate a respectful process is followed to respond to all issues raised.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has a current governance statement and quality plan. The documents include the organisation’s values, scope, direction and purpose. The facility manager and clinical nurse leader have appropriate skills, knowledge and experience to undertake their roles. </w:t>
      </w:r>
    </w:p>
    <w:p w:rsidRPr="00A4268A">
      <w:pPr>
        <w:spacing w:before="240" w:line="276" w:lineRule="auto"/>
        <w:rPr>
          <w:rFonts w:eastAsia="Calibri"/>
        </w:rPr>
      </w:pPr>
      <w:r w:rsidRPr="00A4268A">
        <w:rPr>
          <w:rFonts w:eastAsia="Calibri"/>
        </w:rPr>
        <w:t xml:space="preserve">The quality and risk management system includes document management and control, collation and analysis of quality improvement data, review of progress against the quality objectives, identification and monitoring of risks on the risk register and corrective action planning. All adverse events are reported and recorded and staff members are involved in the response to and management of events. Trends are identified and managed. </w:t>
      </w:r>
    </w:p>
    <w:p w:rsidRPr="00A4268A">
      <w:pPr>
        <w:spacing w:before="240" w:line="276" w:lineRule="auto"/>
        <w:rPr>
          <w:rFonts w:eastAsia="Calibri"/>
        </w:rPr>
      </w:pPr>
      <w:r w:rsidRPr="00A4268A">
        <w:rPr>
          <w:rFonts w:eastAsia="Calibri"/>
        </w:rPr>
        <w:t xml:space="preserve">The facility’s human resources are managed guided by a suite of policies and procedures which reflect good employment practices. Professional staff have their practising certificates monitored along with contracted health and allied health professionals. Recruitment of new staff follows the organisation’s documented systems. Staffing levels meet the requirements of the provider’s contracts with two district health boards, the needs of residents and reflect the indicators for safe aged care staffing allocations which are used to guide the rostering process.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by the multidisciplinary team, however not all files reviewed provided evidence that needs, goals and outcomes are identified and reviewed within required timeframes.  A previous corrective action requiring evaluation as to the effectiveness of interventions, in achieving desired outcomes, has been addressed.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 xml:space="preserve">Well defined medicine policies and procedures guide practice. Practices sighted were consistent with these documents; however an improvement is required around facilitating the residents’ safe self administration of inhalers. A previous requirement around medicine reconciliation has been attended to. </w:t>
      </w:r>
    </w:p>
    <w:p w:rsidRPr="00A4268A" w:rsidP="00621629">
      <w:pPr>
        <w:spacing w:before="240" w:line="276" w:lineRule="auto"/>
        <w:rPr>
          <w:rFonts w:eastAsia="Calibri"/>
        </w:rPr>
      </w:pPr>
      <w:r w:rsidRPr="00A4268A">
        <w:rPr>
          <w:rFonts w:eastAsia="Calibri"/>
        </w:rPr>
        <w:t>The menu has been reviewed by a registered dietician as meeting nutritional guidelines, with any special dietary requirements and need for feeding assistance or modified equipment met. Residents and family members have a role in menu choice and interviews with residents and family members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which expires in June 2016. The environment is maintained to a high standard and is appropriate for the population. Internal and external areas are safe and appropriate for residents to access and use independently or with mobility equipment / assistance.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One resident was using an enabler on the day of the audit visit. The use is voluntary and records reviewed confirmed that they are supported to use the equipment safely and it promotes their wellbeing.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was occurring according to the descriptions of the process in the programme. Data on the nature and frequency of identified infections has been collated and analysed. Surveillance results are benchmarked internally.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2"/>
        <w:gridCol w:w="1280"/>
        <w:gridCol w:w="98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accessible within the facility, to both residents and family members. It is compliant with Right 10 of the Code of Health and Disability Services Consumers Rights. Review of the complaints made over the past 18 months indicated that residents and family members are able to raise issues of concern and make formal complaints and have these heard.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maintains the complaints register and this was current on the day of the audit visit. All formal complaints and concerns raised have been reported, recorded and responded to as described in the organisation’s policy. Complaint correspondence is sent within the timeframes of Right 10 and responses are respectful.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was reviewed in relation to a complaint made to the Health and Disability Commission shortly after the last onsite audit. It was closed in July 2015 with the commission satisfied with the actions taken by St Johns Hill in response to the complaint. The facility manager reported that the follow-up actions were reviewed by the district health board and the Ministry of Health in September 2015. These actions are referred to in 1.2.4 and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their training includes the complaints process and that they receive information about complaints received by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receive training in the importance of providing information to residents and families and communication. Review of personnel files and interviews with staff members confirmed that this occurred. Staff interviewed confirmed that the training they receive provides them with appropriate information and to be able to communicate with residents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record communication with family members, discussions and formal transfer of information at different times when this is appropriate. Records were evident on a range of specific forms for this purpose and a general communication sheet for this purpose. Residents and family members interviewed confirmed that they receive information and are notified when appropriate and that staff communication is respectful.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when needed. The organisation has appropriate policies and procedures to guide staff members to do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governance statement which includes the values, scope and goals of the wider organisation. This document was reviewed by the organisation’s area manager and is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and holds a current practising certificate. She has a range of relevant clinical nursing and management experience appropriate to her role at St Johns Hill. She has held the position since the current owners took over management of the facility in September 2013. She has a position description which provides her with the responsibility and accountability to undertake the role and has oversight and support from the area manager. Through interview she demonstrated her understanding of the requirements of her position, these standards and the contracts held by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 described quality and risk management system which includes a current quality plan with quality objectives and a risk register. Both guide the activities of the management team and various committees and regular actions which are undertaken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obtains its policies and procedures from an external contractor and these are tailored to the facility and kept up to date. Staff access documents through hard copies which are available throughout the facility. All versions sighted during the audit visit were current and a consistent version. Policies and procedures which require reference to and incorporation of interRAI requirements have these included.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meetings held each month which coincide with the area manager’s monthly visit to the facility. These are the general staff meeting, the registered nurses meeting and management team’s meeting (facility manager and clinical nurse leader). The latter two are with the area manager. In addition there is a two monthly health and safety meeting. At all of these meetings there are discussions of collated quality improvement data, corrective action plans, progress against the quality objectives, a six monthly review of the health and safety programme and annual review of the risk register. Quality management activity is an integral part of the facility’s routine and meeting minutes reviewed for 2016 and sampled from 2015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data is collated and benchmarked with the organisation’s Christchurch facility. The organisation has recently commenced benchmarking with an external organisation, which the facility manager reported is useful and provides another perspective when reviewing their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facility manager and clinical nurse leader confirmed that the meetings occur as documented. Other staff members interviewed reported that they receive information about quality improvement data and discuss trends, responses to specific events and promoting safety and wellbeing for residents at their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her responsibilities for statutory reporting and essential notifications. She is primarily responsible for all notifications on behalf of the facility with copies of these to the organisation’s head office in Christchurch. Examples of notifications made since the last on site were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reported and recorded by staff and examples were reviewed. Meeting minutes reflect discussion and planning of improvements to service delivery based on analysis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Discussion and review of data with the facility manager in relation to an external complaint confirmed that the corrective actions implemented as a result of the complaint have resulted in a reduction in falls with injury over time. (There has been no formal analysis or evaluation of the data).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the recruitment and appointment of all new staff. This includes all aspects of appointment and selection, including reference checking and police vetting and using a formal interview process. For those staff members who are health professionals, this includes validation of their practising certificates and monitoring these annually thereafter. Contracted health and allied health professionals also have their professional registrations and practising certificates monitored, to ensure a safe standard of care is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used by the facility. It was reviewed and enhanced during 2015 as a result of the Health and Disability Complaint (noted in standard 1.1.13) and all existing staff completed the updated programme. New staff who have commenced work since September 2015 have all completed the new orientation programme. It covers a broad range of topics relevant to the aged care sector and includes competency assessments. The manager reported that this provides a more effective introduction for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prepares an annual training plan based on a biennial list of topics. All topics are covered over a two year period. The inservice training includes refresher training, competency assessment and topics which are responses to issues which have arisen from individual adverse events or trends in adverse events. The in-service training programme is appropriate to the needs of the staff and residents’ needs, and is complemented by the completion of external training by staff when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givers complete the suite of Aged Care Education (ACE) certificates. Nursing staff maintain their professional development requirements and the facility has just introduced the use of the Whanganui District Health Board’s (WDHB) nursing performance appraisal which incorporates nursing competencies. Once completed the nursing staff have met the requirements of the professional development and recognition programme (PDRP). This appraisal document was sighted on the personnel files for the two nurses for whom it has been used so far. The nursing staff maintain an appropriate range of nursing skills, knowledge and competencies including, Hospice New Zealand palliative care modules, interRAI and syringe driver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selection of personnel files were reviewed during the audit visit. This selection included the facility manager and clinical nurse leader and a range of new and longer serving staff members. Files are well organised and maintained. There is ample evidence of the organisation’s human resource management processes being implemented, including a formal annual performance appraisal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policy on staffing and skill mix. The area manager uses the indicators for safe aged care staffing allocations guidelines and the facility manager uses both these documents to develop the rosters based on the number and acuity of residents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develops the rosters at least two weeks in advance. There are adequate numbers of staff members with a mix of skills (nursing, care givers and house-keeping staff) to meet residents’ needs. At interview with the facility manager, she reported that the staff numbers can be increased if the mix of residents and their needs change.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nine registered nurses employed at the facility and seven have been trained and maintain their competency to undertake interRAI assessments. Each of these seven nurses has an allocation of residents whose care plans and assessments (including interRAI) they are responsible for. This enables the facility to largely remain up to date with their interRAI requirements. (See also 1.3.3.2).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comprehensive and identifies all aspects of medicine management. A previous corrective action requiring the implementation of appropriate processes to manage medicine reconciliation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Controlled drugs are checked by two nurses for accuracy in administration. The controlled drug register evidenced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their own inhalers were not observed to have the required documentation in place to ensure this is managed in a safe manner and this requires attention.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documentation is compliant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dietician’s November 2015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observation, resident and family/whanau interviews and resident and family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officer and diversional therapist provide activities to residents in each of the two wings of the facility. 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every two months and a family meeting every four months.  Meeting minutes and satisfaction surveys evidence the activities programme is discussed and that management are responsive to requests.  Interviews verified that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reviews verify formal care plan evaluations, following reassessment (using the interRAI assessment tool) occur every six months or as residents’ needs change and are carried out by the RN. Where progress is different from expected, the service is seen to respond by initiating changes to the care plan. This addresses a previous corrective action requirement.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maintained in a safe, hygienic and tidy state. On the day of the audit visit it was clean, odour free and without clutter in corridors, all communal areas and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has been built to promote mobility and independence for residents. Residents were observed to be moving around the facility throughout the day of audit either on their own, with assistance or using their mobility equipment. There are hand rails throughout and low-rolling resistance floor coverings.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access a range of external areas, with seating, shade and shelter. There are raised gardens and walkways with ramps and paving which promote access and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for the facility which expires 12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Health and Disability Services Standards (HDSS), Infection prevention and control standard (IC) (NZS 8134.3:2008), surveillance of infections is occurring as per the HDSS IC surveillance guide, and is the responsibility of the infection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incidents of infections and the required management plan are presented daily at handover, to ensure early interventions.  Surveillance data is collated and analysed to identify any significant trends, possible causative factors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are presented at the staff and RN meetings and any ongoing corrective actions discussed, as evidenced by meeting records, infection control records and staff interviews.  Incidents of infections are benchmarked internally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visit one resident was using an enabler. Their voluntary use of the equipment is recorded appropriately on their file, as required by the organisation’s policies and procedures.  Records are maintained of monitoring, regular review of the consent and there is oversight by the facility’s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safety and wellbeing are maintained with the use of the enabler and records on their file are current.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21"/>
        <w:gridCol w:w="1280"/>
        <w:gridCol w:w="5351"/>
        <w:gridCol w:w="1879"/>
        <w:gridCol w:w="2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were observed to self administer their inhalers. Three had the required paperwork filled out to verify competence; however no ongoing three monthly review of competence was documented for two of those residents.  Two residents had no documentation verifying competence.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not facilitated to safely self administer their own inhalers, as per the company’s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requesting to self administer their medications are assisted to do so as per the company’s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initially admitted for short term care, had not had an interRAI assessment completed within three weeks of being reassessed as requiring long term care. The interRAI assessments of another two residents had not been reviewed within the last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is not always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of all residents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Johns Hill Healthcare Limited</w:t>
    </w:r>
    <w:bookmarkEnd w:id="58"/>
    <w:r>
      <w:rPr>
        <w:rFonts w:cs="Arial"/>
        <w:sz w:val="16"/>
        <w:szCs w:val="20"/>
      </w:rPr>
      <w:tab/>
      <w:t xml:space="preserve">Date of Audit: </w:t>
    </w:r>
    <w:bookmarkStart w:id="59" w:name="AuditStartDate1"/>
    <w:r>
      <w:rPr>
        <w:rFonts w:cs="Arial"/>
        <w:sz w:val="16"/>
        <w:szCs w:val="20"/>
      </w:rPr>
      <w:t>7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