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Wharekaka Trust Board Incorporated - Wharekaka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Wharekaka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Wharekaka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2016</w:t>
      </w:r>
      <w:bookmarkEnd w:id="7"/>
      <w:r w:rsidRPr="009418D4">
        <w:rPr>
          <w:rFonts w:cs="Arial"/>
        </w:rPr>
        <w:tab/>
        <w:t xml:space="preserve">End date: </w:t>
      </w:r>
      <w:bookmarkStart w:id="8" w:name="AuditEndDate"/>
      <w:r w:rsidR="00A4268A">
        <w:rPr>
          <w:rFonts w:cs="Arial"/>
        </w:rPr>
        <w:t>12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Wharekaka Rest Home provides residential care for up to 19 residents who require rest home care.  The facility is operated by Wharekaka Trust Board Incorporated.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review of policies and procedures, review of resident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There are two areas requiring improvement relating to infection prevention and control documentation and corrective actions plans following deficits identified at staff and resident meetings.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Wharekaka Rest Home provides services that respect the independence, personal privacy, individual needs and dignity of residents. Staff receive regular and ongoing training on resident rights and how these should be implemented in their day-to-day work with residents.  During the audit visit, residents were observed being treated in a respectful and professional manner.   </w:t>
      </w:r>
    </w:p>
    <w:p w:rsidRPr="00A4268A">
      <w:pPr>
        <w:spacing w:before="240" w:line="276" w:lineRule="auto"/>
        <w:rPr>
          <w:rFonts w:eastAsia="Calibri"/>
        </w:rPr>
      </w:pPr>
      <w:r w:rsidRPr="00A4268A">
        <w:rPr>
          <w:rFonts w:eastAsia="Calibri"/>
        </w:rPr>
        <w:t xml:space="preserve">Services provided to residents are of an appropriate standard and residents and their families expressed their satisfaction with these services. Policies are in place to ensure residents are free from discrimination or abuse/neglect, with these policies well understood by staff.  </w:t>
      </w:r>
    </w:p>
    <w:p w:rsidRPr="00A4268A">
      <w:pPr>
        <w:spacing w:before="240" w:line="276" w:lineRule="auto"/>
        <w:rPr>
          <w:rFonts w:eastAsia="Calibri"/>
        </w:rPr>
      </w:pPr>
      <w:r w:rsidRPr="00A4268A">
        <w:rPr>
          <w:rFonts w:eastAsia="Calibri"/>
        </w:rPr>
        <w:t>The general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Wharekaka Trust Board Incorporated is the governing body and is responsible for the service provided. A strategic plan, quality improvement and risk management plan as well as a philosophy of care and core values for the service are in place. There are systems for monitoring the service. The general manager is non-clinical and is supported by a clinical nurse manager. Support is also provided by members of the trust board.  </w:t>
      </w:r>
    </w:p>
    <w:p w:rsidRPr="00A4268A">
      <w:pPr>
        <w:spacing w:before="240" w:line="276" w:lineRule="auto"/>
        <w:rPr>
          <w:rFonts w:eastAsia="Calibri"/>
        </w:rPr>
      </w:pPr>
      <w:r w:rsidRPr="00A4268A">
        <w:rPr>
          <w:rFonts w:eastAsia="Calibri"/>
        </w:rPr>
        <w:t>Quality and risk management systems are in place. There is an internal audit programme. Risks are identified.  Adverse events are documented on accident/incident forms. Internal audits and accident/incident forms evidenced corrective action plans are being developed, implemented, monitored and signed off. Staff meetings are held and there is reporting of clinical indicators, quality and risk issues and discussion of any trends.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 management and current annual practising certificates for health professionals who require them. An in-service education programme is implemented. Human resource processes are followed.</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w:t>
      </w:r>
    </w:p>
    <w:p w:rsidRPr="00A4268A">
      <w:pPr>
        <w:spacing w:before="240" w:line="276" w:lineRule="auto"/>
        <w:rPr>
          <w:rFonts w:eastAsia="Calibri"/>
        </w:rPr>
      </w:pPr>
      <w:r w:rsidRPr="00A4268A">
        <w:rPr>
          <w:rFonts w:eastAsia="Calibri"/>
        </w:rPr>
        <w:t xml:space="preserve">The privacy and security of resident information is maintained and resident records are integrated.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Detailed and individualised care plans are available to guide care delivery for residents. The care plans reflect a comprehensive assessment process, the integration of a range of clinical information, and the input of residents and families.  Care plans are developed, evaluated and updated within appropriate timeframes. </w:t>
      </w:r>
    </w:p>
    <w:p w:rsidRPr="00A4268A" w:rsidP="00621629">
      <w:pPr>
        <w:spacing w:before="240" w:line="276" w:lineRule="auto"/>
        <w:rPr>
          <w:rFonts w:eastAsia="Calibri"/>
        </w:rPr>
      </w:pPr>
      <w:r w:rsidRPr="00A4268A">
        <w:rPr>
          <w:rFonts w:eastAsia="Calibri"/>
        </w:rPr>
        <w:t xml:space="preserve">The clinical nurse manager, an experienced registered nurse, is on site each week day. A registered nurse is always available on call outside of those hours.   There are well-developed processes in place to ensure continuity of care, such as the updating of resident progress notes each shift, written communication sheets and verbal handovers. </w:t>
      </w:r>
    </w:p>
    <w:p w:rsidRPr="00A4268A" w:rsidP="00621629">
      <w:pPr>
        <w:spacing w:before="240" w:line="276" w:lineRule="auto"/>
        <w:rPr>
          <w:rFonts w:eastAsia="Calibri"/>
        </w:rPr>
      </w:pPr>
      <w:r w:rsidRPr="00A4268A">
        <w:rPr>
          <w:rFonts w:eastAsia="Calibri"/>
        </w:rPr>
        <w:t xml:space="preserve">The service has an approved food plan in place and all aspects of food services were organised and well-managed. The residents’ dining room is spacious and well-lit and offers a comfortable dining environment for residents. Residents reported their enjoyment of meals and how their individual food preferences were accommodated. </w:t>
      </w:r>
    </w:p>
    <w:p w:rsidRPr="00A4268A" w:rsidP="00621629">
      <w:pPr>
        <w:spacing w:before="240" w:line="276" w:lineRule="auto"/>
        <w:rPr>
          <w:rFonts w:eastAsia="Calibri"/>
        </w:rPr>
      </w:pPr>
      <w:r w:rsidRPr="00A4268A">
        <w:rPr>
          <w:rFonts w:eastAsia="Calibri"/>
        </w:rPr>
        <w:t>All aspects of medication management are consistent with legislative requirements and best practice.  Medications are administered by qualified nurses and senior care givers, all of whom have been assessed as medication-competent.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All residents’ bedrooms provide single accommodation and there are some rooms with ensuites. Residents' rooms have adequate personal space provided. A lounge, dining areas and alcoves are available. External areas are available for sitting and shading is provided.  </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and cleaning and laundry systems, including appropriate monitoring systems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which meet the requirements of the restraint minimisation and safe practice standard. There are currently no residents using resident or enablers. There are established systems and practices.  Staff education and competency occurs annually.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service has a range of infection prevention and control systems in place. This includes including regular staff education, ensuring that personal protective equipment is freely available to staff.  Systems are in place to manage infection outbreaks. The infection control coordinator is a senior caregiver, who is supported in that role by the clinical nurse manager.  The formalisation of organisational accountability for infection control and the development of a formal infection control programme are areas for improvement.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64"/>
        <w:gridCol w:w="1280"/>
        <w:gridCol w:w="8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of all new staff includes education related to the Health and Disability Commissioner’s Code of Health and Disability Services Consumer’s Rights (the Code),  which was confirmed in staff interviews. Annual education on the Code is also provided to all staff, as sighted in staff education records. </w:t>
            </w:r>
          </w:p>
          <w:p w:rsidR="00EB7645" w:rsidRPr="00BE00C7" w:rsidP="00BE00C7">
            <w:pPr>
              <w:pStyle w:val="OutcomeDescription"/>
              <w:spacing w:before="120" w:after="120"/>
              <w:rPr>
                <w:rFonts w:cs="Arial"/>
                <w:b w:val="0"/>
                <w:lang w:eastAsia="en-NZ"/>
              </w:rPr>
            </w:pPr>
            <w:r w:rsidRPr="00BE00C7">
              <w:rPr>
                <w:rFonts w:cs="Arial"/>
                <w:b w:val="0"/>
                <w:lang w:eastAsia="en-NZ"/>
              </w:rPr>
              <w:t>When interviewed, staff were able to demonstrate their understanding of the Code and could describe examples of how this was incorporated into their daily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spoken with reported they were consistently given the opportunity to make informed choices and that their consent was obtained and respected. Family members reported they were kept well informed about what was happening with the resident and consulted in situations when clinical decisions needed to be made, such as whether to transfer the resident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documentation completed by each new resident and/or their family member identified inclusions and exclusions in service.  All resident files reviewed contained completed admission agreements. Completed consent forms were also sighted in these files, relating to a range of consents such as medical treatments, outings, and the collection of information. Consent is reviewed on an as-required basis, such as when a resident’s needs change, or additional medical/surgical treatment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A range of policy documents guide staff on the consent processes, including a Treatment Consent policy, Resuscitation protocol and policy, and Advance Directive consent. The CNM reported that the service is currently working with the practice nurse on a project related to advance care planning, with two staff currently completing advance care plan training. There are currently no residents with advance directives, but the CNM advised these would be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admission process all residents are given information on the Nationwide Health and Disability Advocacy Service (Advocacy Service), and information on this service is also displayed at reception. An independent advocate runs the monthly resident meetings and is also available as required. The CNM also advised members of the Wharekaka Trust Board play an important role in advocating for residents. Residents and family members confirmed on interview their awareness of how and where to access advocacy support should they require this. </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included in the staff orientation programme and in the ongoing education programme for staff, as confirmed in training records. Those staff interviewed demonstrated their understanding of advocacy and support services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are welcome at Wharekaka Rest Home which has unrestricted visiting hours.  All family members spoken with confirmed they felt welcome when they visited, felt involved in resident-related decision and were promptly informed of any resident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participation in a number of community events.  Four residents are well enough to walk into the nearby town and a number of residents go out with their families, including overnight stays.  The activities programme includes regular van outings, although the activities coordinator advised the van is currently undergoing repairs. The Wharekaka Auxiliary also organise resident outings each month,  host special events such as a mid-winter Christmas dinner and are also available for one-on-one support for residents.  Residents are also supported to access health care services outside of the facility, such as visits to the dentist.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is responsible for complaints and there are systems in place to manage the complaints processes. A complaints register is maintained.  There is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Review of the quality and staff meeting minutes provided evidence of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Health and Disability Commissioner (HDC), Ministry of Health,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admission process, every new resident and their family are provided with a copy of the Code and information on the Nationwide Health and Disability Advocacy Service (Advocacy Service). The clinical nurse manager (CNM) discusses this with them at the time of admission and answers any questions they may have. The CNM advised that as residents are often overwhelmed at the time of admission she also discusses the Code with residents again a few days later. Posters on the Code and information on the Advocacy Service are prominently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On interview all residents and family members confirmed their understanding of resident rights, that they had been given information about the Advocacy Service and any questions they had about this had been answered promptly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of resident information was maintained. All residents’ clinical files were kept in the nurses’ office, which was observed to be locked when staff were not present, and handovers were undertaken in a manner that maintained privacy of information. Electronic records related to residents were password-protected and archived records were securely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visit, staff were observed to address residents by their preferred name, to knock on closed doors before entering a resident’s room and to ensure personal privacy of residents during care delivery. Staff were also observed to interact with residents in a friendly, encouraging and unhurried manner. Residents and families reported they were treated respectfully and individual needs were meet. All residents have a private room and are encouraged to personalise those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individual cultural, religious and social needs, values and beliefs are identified, documented and incorporated into their care plan, which is developed in conjunction with the resident and/or their family.  There is a strong emphasis in the care plans on resident abilities and strategies to maximise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related to abuse and neglect was well understood by those staff interviewed and there is annual training on elder abuse (confirmed in training records). Staff were able to provide examples of what would constitute abuse and neglect and the actions they would take if they suspected this. All staff undergo a police check as part of the employment process and staff human resource records confirmed those checks had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Health policy and a Cultural Safety policy which include information to guide staff in meeting the needs of residents who identify as Maori. Two staff members identify as Maori and there are well-established links with the local iwi should any support or advice be required.  Additional support is also available through the Wairarapa District Health Board. The Tikanga Best Practice resource is also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Cultural beliefs and related requirements are incorporated into the resident’s admission profile, which then informs the relevant section of the care plan. The CNM advised that deceased residents’ rooms are always blessed by a lay preacher prior to the next resident being admitted. If a new Maori resident wished to have an additional Maori blessing of their room this would be arranged.</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of a resident who identifies as Maori expressed their satisfaction with the services being provided to that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Safety policy includes guidance for staff in providing safe services for all residents. All care plans reviewed had been individualised to include the personal preferences and special requirements of residents, with detailed interventions listed to ensure these were met. Each of those care plans contained evidence of resident/family involvement in the care plan development.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they had been consulted about the resident’s individual ethnic, cultural, spiritual values and beliefs, both at the time of admission and on an ongoing basis. They also confirmed that individual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during the audit visit stated that residents were free from any type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for new staff includes education related to all forms of discrimination and exploitation, with ongoing annual education on this topic, as confirmed in staff training records.   A range of policies and documents, such as the Staff Code of Conduct and House Rules, are also available to guide staff. Staff were able to demonstrate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doctor confirmed their satisfaction with the standards of service provision and confidence that residents are not discriminated against in any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range of clinical policies sourced from an external provider. These policies and protocols are current, reflect best practice and are used to guide care delivery. In addition, the service has well-established and extensive professional networks which support the maintenance of appropriate practice standards. These include regular consultations with a range of specialist staff, such as nurse specialists in areas such as wound care and dementia, hospice, physiotherapist, practice nurses, dietician, and district nurses. </w:t>
            </w:r>
          </w:p>
          <w:p w:rsidR="00EB7645" w:rsidRPr="00BE00C7" w:rsidP="00BE00C7">
            <w:pPr>
              <w:pStyle w:val="OutcomeDescription"/>
              <w:spacing w:before="120" w:after="120"/>
              <w:rPr>
                <w:rFonts w:cs="Arial"/>
                <w:b w:val="0"/>
                <w:lang w:eastAsia="en-NZ"/>
              </w:rPr>
            </w:pPr>
            <w:r w:rsidRPr="00BE00C7">
              <w:rPr>
                <w:rFonts w:cs="Arial"/>
                <w:b w:val="0"/>
                <w:lang w:eastAsia="en-NZ"/>
              </w:rPr>
              <w:t>On interview, the doctor confirmed their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stated they were informed in a timely manner about any changes to the resident’s status.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all included evidence of open disclosure and effective communication with residents/families.  Communication was documented in the whanau record, on the accident/incident form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CNM advised that interpreter services could be accessed from the Wairarapa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Wharekaka Trust Board Incorporated is the governing body and is responsible for the services provided at Wharekaka Rest Home.  The current strategic plan includes a philosophy, mission statement, vision, purpose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monitoring the services provided including regular monthly reporting by the general manager (GM) and clinical nurse manager (CNM). One report is then presented by the GM to the trust board.  Trust board members stated they meet weekly on site with the GM to discuss any matters that may arise.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suitably qualified and experienced manager who has been in this position for four years.  The GM is non-clinical and is supported by a CNM. The clinical nurse manager is a registered nurse (RN) who has experience in working in the aged care sector.  The managers are supported by the trust board.  </w:t>
            </w:r>
          </w:p>
          <w:p w:rsidR="00EB7645" w:rsidRPr="00BE00C7" w:rsidP="00BE00C7">
            <w:pPr>
              <w:pStyle w:val="OutcomeDescription"/>
              <w:spacing w:before="120" w:after="120"/>
              <w:rPr>
                <w:rFonts w:cs="Arial"/>
                <w:b w:val="0"/>
                <w:lang w:eastAsia="en-NZ"/>
              </w:rPr>
            </w:pPr>
            <w:r w:rsidRPr="00BE00C7">
              <w:rPr>
                <w:rFonts w:cs="Arial"/>
                <w:b w:val="0"/>
                <w:lang w:eastAsia="en-NZ"/>
              </w:rPr>
              <w:t>Wharekaka Rest Home is certified to provide rest home care.  On the day of this audit there were 13 rest home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Wharekaka Rest Home has a contract with the district health board (DHB) to provide aged related residential care.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general manager, the clinical nurse manager deputises.  When the clinical nurse manager is absent, the other registered nurse deputises. The general manager and the clinical nurse manager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and risk management plan is used to guide the quality programme and includes quality goals and objectives.  There was evidence that quality improvement data is collected, collated, and analysed to identify trends and improve service delivery. There is an internal audit programme and completed internal audits for 2015 and 2016 were reviewed.  Quality improvement data is being reported to the trust board and to staff via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and quality meetings are held.  There was evidence of reporting on numbers of various clinical indicators and quality and risk issues in these meetings. However, meeting minutes did not evidence corrective actions were developed and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are kept informed of quality and risk management issues, including clinical indicators.  Copies of meeting minutes and graphs of clinical indicators were available for staff to review.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 procedures and forms are reviewed and updated and are current. Care staff confirmed the policies and procedures provide appropriate guidance and that they are advised of new and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identifies all known hazards and shows the actions put in place to minimise, isolate or eliminate risks. Newly found hazards are communicated to staff and residents as appropriate.  Staff confirmed they understood and implemented documented hazard identification processes. The health and safety coordinator has recently completed ongoing education relating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incident/accident form and data is collated each month.  The original is filed in residents’ files.  Data includes summaries and graphs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There has been one essential notification since the last audit and the GM confirmed this. Staff confirmed they are aware of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relating to human resource management. Staff files included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CNM is responsible for managing the in-service education programme and there was evidence indicating in-service education is provided for staff utilising various methods of delivery.  Individual records of education are maintained as are competency assessments.  Education records for each session and in-service education programmes indicated good attendance at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 Authority education programme.  There is an external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that is based on best practice.  The minimum number of staff is provided during the night shift and consists of one caregiver.  Several staff members live close to the facility and are available should they be required.  The GM and the CNM are also on-call after hours.  Care staff reported there are adequate staff available and that they were able to complete the work allocated to them.  Residents and family reported there were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 records reviewed included the resident’s unique identifier. The clinical records were well-organised and integrated, including information such as medical notes, reports from other health professionals and laboratory results. Detailed resident progress notes were completed every shift, detailing resident response to service provision and progress towards identified goals. Sample signatures for all staff making entries into the progress notes were included in all clinical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These files were maintained securely. Electronic files were password protected and can only be accessed by designated staff. Hard copy information, such as clinical files, is kept in the nurses’ station, which was observed to be kept locked when no staff were present. Archived material was also kept securely but was easily retrievable.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described the processes associated with admission to the services. Residents can only be admitted when their level of required care has been assessed and confirmed by the Needs Assessment and Service Coordination Service (Focus).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are provided with a comprehensive information pack related to the service and the admission criteria and processes that must be completed prior to admission are discussed with them.  Prospective residents and their family/whanau are encouraged to visit the facility prior to admission. Family members interviewed confirmed they were satisfied with the information made available to them as part of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used the DHB’s ‘yellow envelope’ system to facilitate transfer of residents to and from acute care services.  The CNM advised that when a resident is transferred to another service, a range of information is provided to that service, including documentation related to the resident’s abilities and the reason for transfer. Copies of this information were sighted in several clinical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 in the facility have current medication competency assessments, of which records were sighted. Medications were charted in an appropriate manner, using an electronic medication system. Medications were reviewed at least three monthly and medication administration records reviewed were complete. An observation of a medication round confirmed that medications were administered in a safe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robotics medication pack system. Evidence was sighted that these packs are checked against the medication chart by a RN on arrival to the service. Surplus and expired medication is returned to the pharmacy. The date of first use of eye drops was recorded on those products currently in use. A stocktake of all controlled medication is undertaken weekly.  The medication fridge temperature is checked at least three times weekly and these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use medication standing orders. Processes are in place for residents to self-medicate, should this be required, although no residents were currently self-medicating.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service management comply with legislative requirements and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food plan, dated 16 February 2016, (approval sighted).  The kitchen was organised, well maintained and clean. Staff are appropriately qualified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can cater for a range of nutritional requirements, including diabetic, vegetarian, gluten-free and soft diets. A six-weekly menu, with summer and winter options, was last reviewed by a registered dietician in January 2015.  A dietary profile is completed when residents are admitted and details of their likes/dislikes and special nutritional needs are recorded on the kitchen whiteboard. Residents are weighed monthly and nutritional supplements administered as prescribed. Specialised crockery, such as lip plate and feeding cups, are available.  There is a spacious, well-lit dining room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monitor resident satisfaction with food services by monitoring wastage, resident meetings, informal feedback and annual satisfaction surveys. Residents spoke of their enjoyment of meals, and how their individual preferences were accommodated.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prospective resident did not meet the entry criteria, or there were no vacancies at that time, the CNM advised that she would support them and their family to contact Focus to find an appropriate 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by a registered nurse within 24 hours of admission. An initial assessment and care plan is completed, which also incorporates information provided by the resident/family, the NASC assessment, and other information such as hospital discharge summaries. Within three weeks of admission the interRAI assessment is completed and a long term care plan developed in consultation with the resident and their family. All resident records reviewed included evidence of required timeframes being met and of resident/family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 records reviewed included a detailed, comprehensive and individualised care plan which provides guidance for care delivery staff to meet the resident’s identified needs. Plans reflected the support needs of residents, and the outcomes of the integrated assessment process. Residents and families stated they felt included in the development of these plans and their ongoing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available 24 hours a day to provide support and guidance for care delivery staff. There was evidence in all resident records reviewed of regular, timely and comprehensive assessment of needs which then informed the care plan and the provision of care services.  Staff also had access to a range of clinical policies which reflect best practice and are an additional source of information for staff.  The doctor expressed satisfaction with the provision of services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activities coordinator is temporarily coordinating the activities programme.  A qualified diversional therapist has been employed and was due to start within a few days of the audit visit. The activities coordinator is on site for 25 hours a week and there is also regular input from volunteers, such as the Trust Auxiliary.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previous and current interests are assessed on admission and individual activity plans completed within three weeks and reviewed six monthly. This was confirmed in resident records. These plans help inform the development of the varied and interesting monthly activity programme. Activities held over the last month included exercises, games, poems, housie, movies, a picnic club, current events, knitting circle, reminiscence, crafts, current events and entertainment. A church service is held monthly.  Activities are provided both in a group and one-on-one basis.  The service does have a mobility van, although this is currently out of service for repair.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spoken with advised they enjoyed the activities programme and commented on the variety of activities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had been evaluated at least six monthly and more frequently if clinically indicated. Evaluations were undertaken by registered nurses and detailed the resident’s progress towards achieving their identified goals. Clinical reassessments were also undertaken as part of the evaluation process. Short term care plans were developed when residents’ needs changed and these plans were also reviewed in a timely manner. When progress was different from expected, care plans were updated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of residents to access other health and/or disability providers is maintained. Support is available to transport and accompany residents to external health-related visits, as confirmed in interviews with staff and residents.  When the need for other services is identified, the doctor or a registered nurse sends a referral to seek specialist provider assistance. Copies of referrals were sighted in clinical records. The resident/family confirmed on interview that they are kept informed about the referral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in a timely manner.  Policies and procedures specify labelling requirements in line with legislation.  Material safety data sheets are available throughout the facility and accessible for staff.  The hazard register is current.  Staff have received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is appropriate to the recognised risks.  Protective clothing and equipment was observed in the sluice/laundry.  Staff were observed using the protective clothing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are appropriate systems in place to ensure the residents’ physical environment and facilities are fit for their purpose.  There is a proactive and reactive maintenance programme in place and buildings, plant and equipment are maintained to an adequate standard.  Maintenance is undertaken by an external contractor.  Documentation evidenced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are required and that requests are appropriately actioned.  Residents also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rooms have an ensuite. There are adequate numbers of communal bathrooms and toilets throughout the facility.  Residents reported that there are sufficient toilets and they are easy to access. Appropriate signage and privacy locks were observed on toilet and bathroom doors.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for residents and staff to move around within the bedrooms safely.  All bedrooms provide single accommodation.  Residents spoke positively about their accommodation.  Rooms are personalised with furnishings, photos and other personal adornments.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and relaxing and these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family reported the laundry is managed well and residents’ clothes are returned in a timely manner. The resident/family survey confirmed this.  Care staff are responsible for the laundry and they demonstrated knowledge of the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There is a dedicated cleaner on site who has received appropriate education.  Interview of the cleaner and training records confirmed this.  The cleaner has a lockable cupboard to store chemicals.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An evacuation policy on emergency and security situations is in place.  A fire drill takes place six-monthly and is current.  The orientation programme includes fire and security training.  Staff confirmed their awareness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gas barbecues.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hot water heaters.  Residents are provided with safe ventilation and an environment that is maintained at a safe and comfortable temperature.  There is a designated external smoking area.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infection control manual developed by an external provider. The manual includes definitions, procedures, guidelines to identify infections, information for employees related to accidents, spills, needle stick injury prevention, sharps management and single-use items.  There is little documentation to indicate how the resource manual is to be implemented by the service. Although practices are in place to minimise infection, such as the reporting of infections to the general manager and the collation of surveillance results, these practices have not been documented into a formal infection management plan.   A recent infection outbreak, involving a number of residents and staff, was handled efficiently and effectively (details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care giver is the designated infection control coordinator. Infection control matters, including surveillance results, are reported to the CNM and the general manager. Infection rates are reported at staff meetings, as seen in minutes. </w:t>
            </w:r>
          </w:p>
          <w:p w:rsidR="00EB7645" w:rsidRPr="00BE00C7" w:rsidP="00BE00C7">
            <w:pPr>
              <w:pStyle w:val="OutcomeDescription"/>
              <w:spacing w:before="120" w:after="120"/>
              <w:rPr>
                <w:rFonts w:cs="Arial"/>
                <w:b w:val="0"/>
                <w:lang w:eastAsia="en-NZ"/>
              </w:rPr>
            </w:pPr>
            <w:r w:rsidRPr="00BE00C7">
              <w:rPr>
                <w:rFonts w:cs="Arial"/>
                <w:b w:val="0"/>
                <w:lang w:eastAsia="en-NZ"/>
              </w:rPr>
              <w:t>A sign at the main entrance to the facility asks anyone who is or has been unwell in the past 48 hours to not enter the facility.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senior caregiver, who has been in the role for some years, and has completed a variety of education related to infection control, as confirmed in training records.  The coordinator works in consultation with the CNM, an experienced registered nurse. The CNM has access to diagnostic results to ensure timely treatment and resolution of infections.   The service is also able to access established networks for additional infection control support, such as the Infection Control Team at the Wairarapa DHB or the public health unit. The general manager and CNM advised that they will be reviewing the infection control coordinator position in the near future and it is likely that this position will be held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is freely available to staff, who confirmed the availability of this equipment. The service also maintains a supply of additional equipment in case of an infection outbreak (supplies sighted). The quantity and range of these supplies were analysed following a recent infection outbreak and additional supplies were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policy/procedure manual, produced by an external provider, guides infection prevention and control practices. This complies with relevant legislation and current accepted good practices. The manual is reviewed annually, with the last review being undertaken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and kitchen staff were observed to be compliant with generalised infection control practices. Care delivery staff were observed using hand sanitisers on a regular basis and wearing disposable aprons and gloves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a component of the staff orientation programme. Annual infection prevention and control education was provided to staff, as confirmed in staff training records and the annual education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education is provided by the infection control coordinator and qualified nursing staff, as well as the infection control nurse from the DHB. The CNM advised that additional staff education is also provided on an as-required basis, such as if there is an increase in specific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This may include reminders about handwashing or strategies to minimise the possibility of infections such as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not identified which infections will be part of its infection surveillance programme. The infection control coordinator advised that when the doctor confirms an infection, this is documented on a surveillance sheet. This surveillance data is collated by the general manager, graphed for that month, and reported at the monthly staff meetings.  The total number of infections is collated on an annual basis (reports sighted) but there was no evidence of surveillance data being analysed for trends. The service does not use internal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related to a recent gastro-intestinal outbreak was detailed and consistent with best practice. There was also evidence of analysis of that data and of a quality initiative being implemented to address an area which the CNM thought could have been improved in relation to the outbreak management.  Refer also to criteria 3.1.1 and 3.1.3.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or enablers. There is a restraint register should restraint be used. The policies and procedures have definitions of restraints and enablers. Staff demonstrated good knowledge about restraints and enablers. Restraint is an agenda item at the monthly staff meetings. The restraint coordinator was knowledgeable concerning restraint processes.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4"/>
        <w:gridCol w:w="1280"/>
        <w:gridCol w:w="5081"/>
        <w:gridCol w:w="2309"/>
        <w:gridCol w:w="25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and implemented following deficits identified in internal audits, incident and accident reporting and health and safety.  However, staff and resident meeting minutes do not evidence corrective action plans, timeframes for completion, close out date and sign off.  Deficits identified are not always brought forward to the following meetings and reported back to staff and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resident meeting minutes do not evidence corrective action plans, timeframes for the action to be completed, date of close out and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and resident meeting minutes evidence corrective action plans, timeframes for the action to be completed, date of close out and sign off following deficits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 job description, but no documentation was sighted for organisational accountability for infection control or how this was reported to senior management and the Trust Board.  Terms of reference have been developed for an infection control committee, but the membership of the committee is not stated.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there is a job description for the infection control coordinator, the lines of accountability with the organisation for infection control, including reporting, are not clearly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organisation leading to the governing body and/or senior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infection control resource manual, supplied by an external provider. The organisation does not currently have documentation that details how that infection control manual is to be implemented by the service.  For example, there is no documentation related to which infections will be reported as part of the surveillance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very brief infection control programme that provides insufficient detail of how the externally-produced infection control manual is to be implemented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defined and documented infection control programme that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Wharekaka Trust Board Incorporated - Wharekaka Rest Home</w:t>
    </w:r>
    <w:bookmarkEnd w:id="58"/>
    <w:r>
      <w:rPr>
        <w:rFonts w:cs="Arial"/>
        <w:sz w:val="16"/>
        <w:szCs w:val="20"/>
      </w:rPr>
      <w:tab/>
      <w:t xml:space="preserve">Date of Audit: </w:t>
    </w:r>
    <w:bookmarkStart w:id="59" w:name="AuditStartDate1"/>
    <w:r>
      <w:rPr>
        <w:rFonts w:cs="Arial"/>
        <w:sz w:val="16"/>
        <w:szCs w:val="20"/>
      </w:rPr>
      <w:t>12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