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Patrick's Home and Hospital Limited - St Patrick's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Patrick's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Patrick's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March 2016</w:t>
      </w:r>
      <w:bookmarkEnd w:id="7"/>
      <w:r w:rsidRPr="009418D4">
        <w:rPr>
          <w:rFonts w:cs="Arial"/>
        </w:rPr>
        <w:tab/>
        <w:t xml:space="preserve">End date: </w:t>
      </w:r>
      <w:bookmarkStart w:id="8" w:name="AuditEndDate"/>
      <w:r w:rsidR="00A4268A">
        <w:rPr>
          <w:rFonts w:cs="Arial"/>
        </w:rPr>
        <w:t>4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Patrick's Home and Hospital can provide care for up to 60 residents. 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manager is responsible for the overall management of the facility including clinical care and is supported by the assistant manager and two directors. Service delivery is monitored.</w:t>
      </w:r>
    </w:p>
    <w:p w:rsidRPr="00A4268A">
      <w:pPr>
        <w:spacing w:before="240" w:line="276" w:lineRule="auto"/>
        <w:rPr>
          <w:rFonts w:eastAsia="Calibri"/>
        </w:rPr>
      </w:pPr>
      <w:r w:rsidRPr="00A4268A">
        <w:rPr>
          <w:rFonts w:eastAsia="Calibri"/>
        </w:rPr>
        <w:t xml:space="preserve">Improvements are required to the following: informing family member after an incident or accident, informed consent, complaints management, the quality programme, training; safety for residents; documentation of care;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Staff are informed of the Health and Disability Commissioner's Code of Health and Disability Services Consumers' Rights (the Code), the complaints process and the Nationwide Health and Disability Advocacy Service. Some information for residents and family members is accessible. Residents and family members confirm their rights are met, staff are respectful of their needs and communication is appropriate. </w:t>
      </w:r>
    </w:p>
    <w:p w:rsidRPr="00A4268A">
      <w:pPr>
        <w:spacing w:before="240" w:line="276" w:lineRule="auto"/>
        <w:rPr>
          <w:rFonts w:eastAsia="Calibri"/>
        </w:rPr>
      </w:pPr>
      <w:r w:rsidRPr="00A4268A">
        <w:rPr>
          <w:rFonts w:eastAsia="Calibri"/>
        </w:rPr>
        <w:t>The manager is responsible for management of complaints. Complaints documented on the complaints register are managed as per timeframes in the Health and Disability Commissioner (HDC) Code of Health and Disability Services Consumers' Rights (the Code).</w:t>
      </w:r>
    </w:p>
    <w:p w:rsidRPr="00A4268A">
      <w:pPr>
        <w:spacing w:before="240" w:line="276" w:lineRule="auto"/>
        <w:rPr>
          <w:rFonts w:eastAsia="Calibri"/>
        </w:rPr>
      </w:pPr>
      <w:r w:rsidRPr="00A4268A">
        <w:rPr>
          <w:rFonts w:eastAsia="Calibri"/>
        </w:rPr>
        <w:t xml:space="preserve">Improvements are required to ensuring that family are informed of any incident involving their family member, consent for transport, advance directives, information around advocacy services and documentation of verbal complaints on the complaints register.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St Patrick's Home and Hospital has a documented quality and risk management system. There is a management system to manage residents’ records with a document control process in place. </w:t>
      </w:r>
    </w:p>
    <w:p w:rsidRPr="00A4268A">
      <w:pPr>
        <w:spacing w:before="240" w:line="276" w:lineRule="auto"/>
        <w:rPr>
          <w:rFonts w:eastAsia="Calibri"/>
        </w:rPr>
      </w:pPr>
      <w:r w:rsidRPr="00A4268A">
        <w:rPr>
          <w:rFonts w:eastAsia="Calibri"/>
        </w:rPr>
        <w:t xml:space="preserve">There are human resource policies implemented around recruitment, selection and orientation. Staffing is rostered to meet numbers of residents in the facility and acuity levels. Staff, residents and family confirm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r w:rsidRPr="00A4268A">
        <w:rPr>
          <w:rFonts w:eastAsia="Calibri"/>
        </w:rPr>
        <w:t>Improvements are required to the quality and risk management programme including review of policies, documentation of meeting minutes, resolution of issues, incident and accident management and training for staff.</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from suitably experienced staff. Residents and family members have opportunity to contribute to care plans.</w:t>
      </w:r>
    </w:p>
    <w:p w:rsidRPr="00A4268A" w:rsidP="00621629">
      <w:pPr>
        <w:spacing w:before="240" w:line="276" w:lineRule="auto"/>
        <w:rPr>
          <w:rFonts w:eastAsia="Calibri"/>
        </w:rPr>
      </w:pPr>
      <w:r w:rsidRPr="00A4268A">
        <w:rPr>
          <w:rFonts w:eastAsia="Calibri"/>
        </w:rPr>
        <w:t xml:space="preserve">Residents’ files reviewed demonstrated risk assessments, interRAI assessments, initial care plans and long term care plans are not consistently conducted within the required timeframes. Care plan interventions and coordination of clinical services require improvement. </w:t>
      </w:r>
    </w:p>
    <w:p w:rsidRPr="00A4268A" w:rsidP="00621629">
      <w:pPr>
        <w:spacing w:before="240" w:line="276" w:lineRule="auto"/>
        <w:rPr>
          <w:rFonts w:eastAsia="Calibri"/>
        </w:rPr>
      </w:pPr>
      <w:r w:rsidRPr="00A4268A">
        <w:rPr>
          <w:rFonts w:eastAsia="Calibri"/>
        </w:rPr>
        <w:t xml:space="preserve">Activities are planned and the programme is available to residents. Residents’ interviews confirm satisfaction with the activities provided. </w:t>
      </w:r>
    </w:p>
    <w:p w:rsidRPr="00A4268A" w:rsidP="00621629">
      <w:pPr>
        <w:spacing w:before="240" w:line="276" w:lineRule="auto"/>
        <w:rPr>
          <w:rFonts w:eastAsia="Calibri"/>
        </w:rPr>
      </w:pPr>
      <w:r w:rsidRPr="00A4268A">
        <w:rPr>
          <w:rFonts w:eastAsia="Calibri"/>
        </w:rPr>
        <w:t xml:space="preserve">There are appropriate medicines management processes for prescribing, administration, medication reconciliation, dispensing, storage and disposal of medicines, however there is an opportunity for improvement relating to some aspects of medication management and staff competencies. At the time of the audit the service did not have any residents who self-administered medicines. </w:t>
      </w:r>
    </w:p>
    <w:p w:rsidRPr="00A4268A" w:rsidP="00621629">
      <w:pPr>
        <w:spacing w:before="240" w:line="276" w:lineRule="auto"/>
        <w:rPr>
          <w:rFonts w:eastAsia="Calibri"/>
        </w:rPr>
      </w:pPr>
      <w:r w:rsidRPr="00A4268A">
        <w:rPr>
          <w:rFonts w:eastAsia="Calibri"/>
        </w:rPr>
        <w:t>Food and nutritional needs of residents are provided in line with recognised nutritional guidelines and menus are reviewed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New Zealand Fire Service evacuation scheme in place. A preventative and reactive maintenance programme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r w:rsidRPr="00A4268A">
        <w:rPr>
          <w:rFonts w:eastAsia="Calibri"/>
        </w:rPr>
        <w:t xml:space="preserve">An improvement is required to ensuring that windows are safe for residents.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approval process for enabler use will be activated when a resident voluntarily requests an enabler to assist them to maintain independence and/or safety. There were no residents using restraint or requiring enablers on audit days. Staff education in restraint, de-escalation and challenging behaviour has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New employees are provided with training in infection control practices and infection control education is available for all staff. Staff are familiar with infection control measures at the facility.</w:t>
      </w:r>
    </w:p>
    <w:p w:rsidRPr="00A4268A">
      <w:pPr>
        <w:spacing w:before="240" w:line="276" w:lineRule="auto"/>
        <w:rPr>
          <w:rFonts w:eastAsia="Calibri"/>
        </w:rPr>
      </w:pPr>
      <w:r w:rsidRPr="00A4268A">
        <w:rPr>
          <w:rFonts w:eastAsia="Calibri"/>
        </w:rPr>
        <w:t>The infection control surveillance data confirms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78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83"/>
        <w:gridCol w:w="1280"/>
        <w:gridCol w:w="92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state that they receive services that meet their cultural needs and they receive information relative to their needs. They state that staff respect their wishes.</w:t>
            </w:r>
          </w:p>
          <w:p w:rsidR="00EB7645" w:rsidRPr="00BE00C7" w:rsidP="00BE00C7">
            <w:pPr>
              <w:pStyle w:val="OutcomeDescription"/>
              <w:spacing w:before="120" w:after="120"/>
              <w:rPr>
                <w:rFonts w:cs="Arial"/>
                <w:b w:val="0"/>
                <w:lang w:eastAsia="en-NZ"/>
              </w:rPr>
            </w:pPr>
            <w:r w:rsidRPr="00BE00C7">
              <w:rPr>
                <w:rFonts w:cs="Arial"/>
                <w:b w:val="0"/>
                <w:lang w:eastAsia="en-NZ"/>
              </w:rPr>
              <w:t>Staff are orientated on residents’ rights when employed by the organisation. Staff were able to explain rights for residents in a way that promotes choice.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posters identifying residents’ rights are displayed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education programme with this provided in 2013 (refer 1.2.7).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the Code. Examples were provided on ways the Code is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of informed consent however this should be updated to include consent for transporting of residents (refer 1.2.3.6).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is collected as part of the admission agreement apart from documentation of consent for transporting of residents.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or the clinical manager discusses informed consent processes with residents and their families during the admission process.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for consent for resuscitation/advance directives. An improvement is required to the policy around advance directives (refer 1.2.3.6) and documentation of advanced directives. .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 that written information on the role of advocacy services is provided to residents at the time of entry to the service. Resident information around advocacy services is described as being available at the entrance to the service and in information packs provided to residents and family on admission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and this was last provided for staff in 2013.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advocate visits the service during the year as confirmed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to maintain family and friends networks. Residents' files reviewed demonstrate that progress notes and the content of care plans include regular outings and appointments with a van able to take residents into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periods for responding to a complaint. Complaint forms are available at the entrance. A complaints register is in place and the register includes: the date the complaint is received; the source of the complaint; a description of the complaint; the outcome and agreed action.</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does not include documentation of verbal complaints and an improvement is required. Evidence relating to each lodged complaint is held in the complaints folder. A complaint reviewed in 2014 indicates that the complaint is investigated promptly with the issues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responsible for managing complaints and residents and family state that these are dealt with as soon as they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the Health and Disability Commission or other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or a registered nurse discusses the Code, including the complaints process with residents and their family, on admission. Discussions relating to the Code can also be held at the resident meetings. Residents and family interviews confirm their rights are being upheld by the service. The information pack includes reference to the poster of the Code displayed in the dining room. . Information around rights can be produced in a bigger font, if required.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given to next of kin or enduring power of attorney (EPOA) to read to and discuss with the resident in private. 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assessments gain details of people’s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report that they knock on bedroom doors prior to entering rooms, ensure doors are shut when cares are being given and do not hold personal discussions in public areas – observed on the days of the audit. Residents and families confirm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training on abuse and neglect and can describe signs. There are no documented incidents of abuse or neglect in the business status reports for 2015 or on the incidents reviewed in residents’ files. Residents, staff, family and the general practitioner confirm that there is no evidence of abuse or neglect. Staff interviewed were aware of the need for them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and/or spiritual values and individual preferences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policy which outlines the processes for working with people from other cultures. The rights of the residents/family to practise their own beliefs are acknowledged in the policies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external support people who can provide advice for staff and Māori residents if required. One is a church minister who visits the service weekly. Staff report that specific cultural needs are identified in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family/whānau in the delivery of care for the Māori residents. Staff have had training around cultural rights, safety and Māori in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There is a culture of choice with the resident determining when cares occur, times for meals and choices in meals and activities. Staff work to balance service delivery, duty of care and resident choice.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involved in the assessment and the care planning processes. Information gathered during assessment includes the resident’s cultural values and beliefs. This information is used to develop a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There are residents in the service for whom English is a second language. The service has employed staff who can speak their language and family are actively engaged in their care. Residents who cannot speak English have a list of words that are interpreted for staff to use when supporting the resident with cares. Two residents interviewed who do not speak English state that they are very happy with the care and treatment provided and state that they enjoy having staff who speak their language on the morning and afternoon shifts. A staff member interviewed who can speak with these residents states that they are allocated the residents on the shift so that they can converse with the resident. The service has employed an Asian cook who is able to provide Asian food for residents. The residents interviewed stated that while the food is not exactly the same as in their culture, they appreciate the food provided for them. .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policies and processes to ensure staff are aware of good practice and boundaries relating to discrimination, abuse and neglect, harassment and exploitation. Staff interviewed state that they are aware of the policies and are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they would formally complain to management if they felt that they were discriminated against. There were no complaints recorded in the complaints register for the previous 12 months relating to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an outline of expectations with a job description sighted in staff files reviewed relevant to the role held by the staff member. The orientation and employee agreement provided to staff on induction includes standards of conduct. Interviews with staff confirmed their understanding of professional boundaries, including the boundaries of the health care assistants’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Patrick's Home and Hospital implements policies to guide practice (refer 1.2.3.3). A quality framework supports an internal audit programme (refer 1.2.3.3, 1.2.3.6 and 1.2.3.8).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for all staff and registered nurses are encouraged to complete training provided by the district health board (refer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a high level of satisfaction with the care delivered. The level of satisfaction was also expressed in annual satisfaction surveys. . The general practitioner interviewed expressed satisfaction with the clinical oversight and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available through the organisation’s management team that includes the manager, directors and the assistant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in some cases if the resident has an incident, accident or has a change in health or a change in needs, as evidenced in completed accident/incident forms. An improvement is required to documentation that family are informed.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is recorded in residents’ files. Interviews with family members confirm they are kept informed. Family also confirm that they are invited to the care planning meetings for their family member and could attend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Those reviewed are signed on the day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through the district health board and family interpret for resident who require this in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directors provide oversight of the service. Both were on site during the audit. One takes responsibility for the financial and building component of the service and the other for care and resident requirements. One director was an enrolled nurse (does not have a current practicing certificate) and the other has a bachelor in counselling. </w:t>
            </w:r>
          </w:p>
          <w:p w:rsidR="00EB7645" w:rsidRPr="00BE00C7" w:rsidP="00BE00C7">
            <w:pPr>
              <w:pStyle w:val="OutcomeDescription"/>
              <w:spacing w:before="120" w:after="120"/>
              <w:rPr>
                <w:rFonts w:cs="Arial"/>
                <w:b w:val="0"/>
                <w:lang w:eastAsia="en-NZ"/>
              </w:rPr>
            </w:pPr>
            <w:r w:rsidRPr="00BE00C7">
              <w:rPr>
                <w:rFonts w:cs="Arial"/>
                <w:b w:val="0"/>
                <w:lang w:eastAsia="en-NZ"/>
              </w:rPr>
              <w:t>The manager (previously the clinical manager) is a registered nurse with a current practising certificate. The manager joined St Patrick's in 2011 and is currently completing a Masters in Nursing.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philosophy, values and goals documented in the strategic overview of the service. The strategic plan also includes a marketing plan and SWOT analysis. These are communicated to residents, staff and family through information in booklets and in staff orientation.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60 residents with eight designated bedrooms for rest home level of care. Other bedrooms are designated as dual purpose beds (hospital and rest home). During the audit there were 49 residents living at the facility including 19 residents requiring rest home level of care and 30 residents requiring hospital level of care. One resident was identified as having a long term chronic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manager, the assistant manager and a senior registered nurse is in charge with support from the directors. The assistant manager and senior nurse are clearly able to articulate and fulfil the management role, and are aware of limitations to scope of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Patrick's Home and Hospital uses the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expected to be reviewed two yearly. An improvement is required to review of policies and procedures. Policies are readily available to staff in hard copy however the policies in hard copy do not include recently reviewed policies. The policy around pressure injuries has been updated.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pressure injuries, soft tissue/wounds, and implementation of an internal audit programme. The corrective action plans are documented and evidence resolution of issues completed in some cases. Graphs of incidents are completed monthly. Monthly meeting minutes including management, staff, registered nurse and health and safety meetings with monthly resident meetings. Family are able to attend the resident meetings if they wish. Staff report that they are kept informed of quality improvements. Improvements are required to evidence of discussion of data at meetings and documentation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for family and residents in 2015 shows a high level of satisfaction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situations in which the service would need to report and notify statutory authorities, including, police attending the facility, unexpected deaths, sentinel events, notification of a pressure injury, infectious disease outbreaks and changes in key managers. The Ministry of Health and district health board have been notified of any sentinel events and of changes in management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are able to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to inform staff of the incident.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the manager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contain appointment documentation including: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health care assistants (HCAs) are paired with a senior HCA for shifts or until they demonstrate competency on a number of tasks including personal cares. HCAs confirm their role in supporting and buddying new staff. A new staff member interviewed confirmed that they had completed an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annual education and training programme. Staff attendances are documented for internal training with evidence that there is good attendance at training sessions. Registered nurses attend training provided by the district health board. The pharmacy provides training annually around medication administration and management. Education and training hours are at least eight hours a year for each staff member. Some training is completed three yearly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Three of the six registered nurses (including the manager) have completed interRAI training and two other registered nurses are currently completing the training. Staff have completed training around pressure injuries (PIs) in 2013, 2014 and 2016. Registered nurses have attended specific training around PIs in 2014 facilitated by the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training is completed three yearly and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42 staff, including clinical staff, staff who facilitate the activities programme and household staff. There is always a registered nurse (RN) on each shift. The manager (RN) and assistant manager are on call. If the manager is on leave, a senior RN takes the on call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units downstairs and a house that has rooms for residents. A staff member is always allocated to support these residents on morning and afternoon shifts and staff complete checks at least three times during the night.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Entries are dated and signed by the relevant healthcare assistant, registered nurse or other staff member, including their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is not displayed in a way that could be viewed by other residents or members of the public. Individual resident files demonstrate service integration. This included medical care interventions. Medication charts are in a separate folder with medication. Staff state that they read the long term plans at the beginning of each shift and are informed of any changes through the handover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and assessment processes are recorded and implemented. Interview with a director confirmed they receive enquiries about the service from prospective residents and their families. The manager/registered nurse (RN) obtains relevant clinical information of the prospective resident and their suitability for admission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information pack is available for residents and their family and contains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agreements evidence residents and/or family and facility representative sign off. The admission agreement defines the scope of the service and includes all contractual requirements. The needs assessments are completed for rest home and hospital level of care. In interviews, residents and family confirmed the admission process was completed by staff in timely manner, all relevant admission information was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Management interview confirmed there is open communication between all services, the resident and the family. At the time of transition appropriate information is supplied to the person/facility responsible for the ongoing management of the resident. There was evidence of relevant records in the residents’ files for residents who have been transferred to and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safe system of medicine administration was observed on the days of audit. The staff observed demonstrated knowledge and understanding of their roles and responsibilities related to medicine management. Not all staff who administer medicines have current medication competencies. There is no recorded evidence the medicines are checked upon arrival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Medication and controlled drugs are safety stored. The controlled drug register evidences weekly checks and six monthly stock takes.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GP three monthly medication reviews are conducted and recorded on the medication charts and allergies are noted. The residents’ photos on medication charts do not record the date of photos taken. </w:t>
            </w:r>
          </w:p>
          <w:p w:rsidR="00EB7645" w:rsidRPr="00BE00C7" w:rsidP="00BE00C7">
            <w:pPr>
              <w:pStyle w:val="OutcomeDescription"/>
              <w:spacing w:before="120" w:after="120"/>
              <w:rPr>
                <w:rFonts w:cs="Arial"/>
                <w:b w:val="0"/>
                <w:lang w:eastAsia="en-NZ"/>
              </w:rPr>
            </w:pPr>
            <w:r w:rsidRPr="00BE00C7">
              <w:rPr>
                <w:rFonts w:cs="Arial"/>
                <w:b w:val="0"/>
                <w:lang w:eastAsia="en-NZ"/>
              </w:rPr>
              <w:t>The manager stated there were no residents who self-administer medicines on audit days. The policy on self-administration of medicines does not comply with guidelines (refer to 1.2.3).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seasonal menu that has been reviewed by a dietitian. A dietary assessment is undertaken for each resident on admission to the facility and a dietary profile developed. Dietary profiles are located in the residents’ files and copies are provided to kitchen staff. The personal food preferences of the residents, special diets and modified nutritional requirements are communicated to the kitchen staff and accommodated in the menu. . Residents’ weights are monitored monthly or more frequently when this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family/whānau interviews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 at meal 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the manager/RN and the assistant manager verified a process exists for informing residents, their family/whānau and their referrers if entry is declined. The reason for declining entry would be communicated to the referrer, resident and their family or advocate in a timely and compassionate format that was understood.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Needs Assessment and Service Coordination (NASC) agency; other service providers involved with the resident; the resident; family/whānau and on-site assessments tools are available for the RNs to use and complete the resident’s assessment on admission, however these are not always utilised for the initial care planning process. Staff and residents state assessments take place in the privacy of the resident’s bedroom with the resident and/or family/whānau present, if requested.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is not consistently completed within the required timeframes post admission (refer to 1.3.3).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long term care plans are individualised and integrated. The long term care plan interventions reflect the risk assessments and the level of care required (refer to 1.3.6). Short term care plans are developed, when required and signed off by the RN when problems are resolved. The residents and family have input into their care planning and review. Regular GP care is implemented, sighted in current GP progress reports and confirmed at GP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are not consistently updated to reflect assessment findings or the assessments are not completed when required (refer to 1.3.4). Residents and family/whānau members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comply with best practice guidelines and meet the residents’ needs (refer to hospital tracer methodology).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an occupational therapist and a physiotherapist. Interviews with the activities coordinator and the occupational therapist confirm assessments are completed for residents on admission relating to social, recreational and rehabilitation needs (refer to 1.3.3.). Physiotherapist interview confirmed residents are assessed for mobility needs and assisted with group and personalised exercise programmes. Residents’ participation in individual exercise programmes was evidenced on audit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activities assessments are analysed to develop an activities programme that is meaningful to the residents. The planned monthly activities programme sighted matches the skills, likes, dislikes and interests evidenced in assessment data. The activities reflect ordinary patterns of life and include normal community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 minutes evidence discussion relating to activities (refer to 1.2.3). Interviews with residents and family verify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and reported in the progress notes (refer to 1.3.4). Formal care plan evaluations occur every six months or as residents’ needs change and are carried out by the RN.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Interviews, verified residents and family/whānau are included and informed of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sends a referral to seek specialist service provider assistance. The resident and the family are kept informed of the referral process, as verified by documentation and interviews.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recognised risks, for example: goggles/visors; gloves; aprons; footwear; and masks. Clothing is provided and used by staff. During a tour of the facility, protective clothing and equipment was observed in all high 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 expiry date August 2016. There have been no building modifications since the last audit although there has been refurbishment of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The following equipment is available: pressure relieving mattresses; shower chairs; hoists and sensor alarm mats. There is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 privacy when required. There are decks and grass areas with shade, seating and outdoor tables.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to ensure that windows are safe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with some rooms in the rest home/hospital area having their own en-suite.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Auditors observed residents being supported to access communal toilets and showers in ways that are respectful and dignified.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In rooms requiring equipment there is sufficient space for both the equipment, for example, hoists, at least two staff and the resident, with the ability to include emergency equipment in the room, if required.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adornments and the service encourages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lounge/dining area and other areas that can be used for activities. All areas are easily accessed by residents and staff. Residents are able to access areas for privacy, if required.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 has ample space for residents. Residents can choose to have their meals in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on site, with covered laundry trolleys and bags in use for transport. There are designated clean and dirty areas in the laundry. Laundry staff are required to return linen to the rooms. Residents and family members state that the laundry is managed. 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five days a week. The cleaners have a lockable cupboard to put chemicals in and the cleaners are aware that the trolley must be with them at all times. Cleaners were observed to be vigilant on the days of the audit around keeping the trolley in sight. </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in appropriately labelled containers. Products are used with training around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Cleaners and laundry staff state that they receive monthly training from the company that provides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approved by the New Zealand Fire Service in July 2014. An evacuation policy on emergency and security situations is in place. A fire drill is provided to staff, six monthly. The orientation programme includes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with a first aid certificate on duty with most staff having completed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BBQs.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utilises a pager system. There are call bells in all resident rooms, resident toilets, and communal areas, including the hallways and dining rooms. Call bells are monitored to ensure that they are answered promptly and that all are operational. Residents and family state that there are prompt responses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evenings. Staff complete a check in the evening that confirms that security measures have been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external smoking area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 that rooms are maintained at an appropriate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policy and procedures provide information and resources to inform staff on infection prevention and control (refer to 1.2.3).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delegation of IC matters is documented in policies, along with an infection control coordinator’s (ICC) job description. The ICC is a RN. There is evidence of regular reports on infection related issues and these are at times communicated to staff and management (refer to 1.2.3). The IC programme was reviewed in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access to relevant and current information which is appropriate to the size and complexity of the service. The staff observed at the audit, demonstrated IC practices that are in line with the requirements of the IC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written in a user friendly format (refer to 1.2.3). The IC policies and procedure are reviewed by the manager /RN.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education is provided to staff, as part of their orientation and as part of the internal education (refer to 1.2.7). The IC staff education is provided by the ICC and external specialists. The ICC has completed an external education in IC in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Infection control processes are in place and documented. </w:t>
              <w:br/>
              <w:br/>
              <w:t>The organisation has an internal benchmarking system. Infections are investigated and appropriate plans of action are sighted in meeting minutes. The surveillance results are discussed in the staff meeting.</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were diagnosed with an infection had short term care plans and the infection were entered on the infection log.</w:t>
            </w:r>
          </w:p>
          <w:p w:rsidR="00EB7645" w:rsidRPr="00BE00C7" w:rsidP="00BE00C7">
            <w:pPr>
              <w:pStyle w:val="OutcomeDescription"/>
              <w:spacing w:before="120" w:after="120"/>
              <w:rPr>
                <w:rFonts w:cs="Arial"/>
                <w:b w:val="0"/>
                <w:lang w:eastAsia="en-NZ"/>
              </w:rPr>
            </w:pPr>
            <w:r w:rsidRPr="00BE00C7">
              <w:rPr>
                <w:rFonts w:cs="Arial"/>
                <w:b w:val="0"/>
                <w:lang w:eastAsia="en-NZ"/>
              </w:rPr>
              <w:t>The ICC/ RN is responsible for the surveillance programme. Surveillance analysis is completed and reported at some meetings (refer to 1.2.3). In interview, the manager/ RN confirmed no outbreak occurred at the facility since last audit.</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and short term care plans.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at the facility using enablers or restraint on days of audit. Education around restraint minimisation was last conducted in June 2014 (refer to 1.2.7).</w:t>
            </w:r>
          </w:p>
          <w:p w:rsidR="00EB7645" w:rsidRPr="00BE00C7" w:rsidP="00BE00C7">
            <w:pPr>
              <w:pStyle w:val="OutcomeDescription"/>
              <w:spacing w:before="120" w:after="120"/>
              <w:rPr>
                <w:rFonts w:cs="Arial"/>
                <w:b w:val="0"/>
                <w:lang w:eastAsia="en-NZ"/>
              </w:rPr>
            </w:pPr>
            <w:r w:rsidRPr="00BE00C7">
              <w:rPr>
                <w:rFonts w:cs="Arial"/>
                <w:b w:val="0"/>
                <w:lang w:eastAsia="en-NZ"/>
              </w:rPr>
              <w:t>The restraint policy requires review to be in line with the restraint minimisation and safe practice standard (refer to 1.2.3).</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1"/>
        <w:gridCol w:w="1280"/>
        <w:gridCol w:w="5537"/>
        <w:gridCol w:w="2837"/>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signs an agreement on entry to the service. This includes consent for treatment, photographs and identifies next of kin. Consent for transport is not documented in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indicates that the general practitioner can make an advance directive on behalf of the resident. The policy and form do not adequately provide guidelines for documentation of competency of the resident to make an advance directive or of the approach in New Zealand for residents not deemed competent.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do not sign to give consent for transport.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eight files reviewed did not include documentation around competency of a resident to make an advance directive around resuscitation or not for resuscitation.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doctor has signed an advance directive form that indicates if the resident is or is not for resuscitation, whether the resident should be transferred to hospital for life sustaining treatment and whether antibiotics should or should not be used. All files included sign off by the doctor.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consent for transport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competency of the resident to make an advance directive.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advance directives are signed only by the resident deemed competent to make the decision.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which records written complaints. The last complaint is documented as being received in 2014 and the manager confirms that there have not been any written complaints since this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Verbal complaints are documented in the communications book only.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Verbal complaints are not recorded on the complaints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verbal complaints are documented on the complaints register with evidence of actions taken to resolve these.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include the ability to document whether a family member has been informed after an incident, accident or change in needs. Five of ten files reviewed indicated that the family had been informed of an incident.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ten files did not include documentation that the family had been informed of an incident/accident.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that family have been informed if their family member has had an incident or accident.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expected to be reviewed two yearly. Some have been reviewed, however, some policies have not been reviewed and do not meet best or evidence based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Hard copy versions of the policies are available for staff, however, recently reviewed policies are not printed.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at times, two versions of policies available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have not been reviewed, two yearly, as required in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Hard copy manuals of policies are not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times, there are two versions of the same policy available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policies at least two yearly as scheduled and ensure that policies reflect legislation and best and evidence based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Keep up to date policy manuals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most recent version of the policy is available for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staff, health and safety, registered nurse and management meetings. Minutes are kept of all the monthly meetings, however, there is limited documentation of discussion.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do not evidence robust discussion particularly of clinical aspects of the service including discussion of pressure injuries, tabling of graphs of incidents documented on a monthly basis and review of falls from a clinical perspective.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meeting minutes reflect robust discussion of service delivery at all levels within the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meeting minutes and other data collected identities issues and areas for improvement. Corrective action plans are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resolution of issues is not always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evidence of resolution of issues.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are documented, and at times these include documentation of observations and sign off by the manager, indicating review of the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graphs the incidents on a monthly basis to review for trends. The graph is placed on the notice board for staff to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ten incident forms did not include documentation of observations taken or if recorded, these were only taken once after the incident/accident.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ten incident forms were not signed off by the manager to indicate that they had been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w:t>
              <w:tab/>
              <w:t xml:space="preserve">Ensure that incident forms include documentation of observations taken with these taken for a period of time to determine health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ii)</w:t>
              <w:tab/>
              <w:t>Ensure that incident forms are signed off by the manager to indicate that they have been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completed training that includes clinical aspects of care. Topics have included continence, personal cares, stoma care, pressure injuries and Parkinson’s disease.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training is provided up to three yearly. While there is a stable staff, there are also new staff in the service who have not received training around some topics in the past year. This includes training for restraint, abuse and neglect, rights and advocacy. .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training plan is not provided annually for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comprehensive training plan is provided annually for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assistant manager interview confirmed that the medicines are checked against the medicine chart on arrival at the facility, however there is no recorded evidence of this maintained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files evidence residents’ photos, however these are not dated to identify residents and ensure they resemble their current appearance.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Residents’ photos on medication charts do not record when the photos were 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is no record of medication checks when medications arrive at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the residents’ photos on medication charts are dated</w:t>
            </w:r>
          </w:p>
          <w:p w:rsidR="00EB7645" w:rsidRPr="00BE00C7" w:rsidP="00BE00C7">
            <w:pPr>
              <w:pStyle w:val="OutcomeDescription"/>
              <w:spacing w:before="120" w:after="120"/>
              <w:rPr>
                <w:rFonts w:cs="Arial"/>
                <w:b w:val="0"/>
                <w:lang w:eastAsia="en-NZ"/>
              </w:rPr>
            </w:pPr>
            <w:r w:rsidRPr="00BE00C7">
              <w:rPr>
                <w:rFonts w:cs="Arial"/>
                <w:b w:val="0"/>
                <w:lang w:eastAsia="en-NZ"/>
              </w:rPr>
              <w:t>ii) Provide recorded evidence of the medicines being checked when they arrive at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have attended in service education in medication management provided by a pharmacist in April 2015. There are four RNs who have completed certificate of completion (training) in intravenous (IV) cannulation in May 2015.</w:t>
            </w:r>
          </w:p>
          <w:p w:rsidR="00EB7645" w:rsidRPr="00BE00C7" w:rsidP="00BE00C7">
            <w:pPr>
              <w:pStyle w:val="OutcomeDescription"/>
              <w:spacing w:before="120" w:after="120"/>
              <w:rPr>
                <w:rFonts w:cs="Arial"/>
                <w:b w:val="0"/>
                <w:lang w:eastAsia="en-NZ"/>
              </w:rPr>
            </w:pPr>
            <w:r w:rsidRPr="00BE00C7">
              <w:rPr>
                <w:rFonts w:cs="Arial"/>
                <w:b w:val="0"/>
                <w:lang w:eastAsia="en-NZ"/>
              </w:rPr>
              <w:t>The medication competency assessment consists of visual observations of the staff member administering medicines. There is no recorded evidence of a written medication competency test.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reviewed evidenced four staff who administer medicines do not have current medication competencies, and the remaining four staff have medication observation competencies only. One HCA interviewed stated they administer medication. This staff member’s medication competency was also reviewed and evidenced out of date medication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who administer medicines have current medication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who administer medicines have current medication competencies.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clinical files evidenced: the initial assessments are not consistently completed; the initial care plans are not dated and signed by the person completing the initial care plan; the long term care plans are not consistently completed within the three week period post admission; the interRAI assessments are not consistently completed within the required three week period post admission and the risk assessments are not reviewed when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time frames for service delivery are not adhered to consistently.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each stage of service provision is provided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handovers are conducted at the beginning of each shift. Medical progress notes are current, with GP progress note entry recorded each time the resident is reviewed by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and clinical staff interviews stated there were no residents with PI. On first day of audit, via a family interview, the audit team was alerted to a resident with PI. There was some reference to the PI in the resident’s progress notes. There was no documentation relating to: family being notified of the PI, even though this had occurred as stated by the family member (refer to 1.1.9); completion of an accident/ incident form (refer to 1.2.4); PI management plan (refer to 1.3.6); discussion in the meeting minutes relating to the PI (refer to 1.2.3).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clinical files evidenced the progress notes are at times entered in daily. There were number of progress notes with two to four days of no entries. The frequency of RN entries were up to once a month. Not all residents’ relevant issues were communicated via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not coordinated to promote continuity in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 coordinated service in the delivery of clinical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assessments are not consistently completed on admission (refer to 1.3.3.). The initial assessment/initial care plan is a one page form that does not consistently record all the required needs of the residents. Three of the eight initial care plans were incomplete.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processes do not consistently identify all the needs, outcomes and/ or goals of the residents in the initial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assessment processes identify all the residents’ needs, outcomes and/ or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not reviewed consistently when required (refer to 1.3.3). The required needs of residents’ are not consistently recorded on the long term care plan and the interventions to the needs are not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do not consistently contribute to meeting residents’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 needs are recorded on the long term care plan and interventions relating to the identified needs contribute to meeting the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Most windows have stays that prevent the windows from opening wide. Some windows, including bedroom windows, open fully and potentially this could be a hazard. Some windows also open fully onto deck areas and again could be a hazard. There have no incidents documented where the open windows have caused an adverse event.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 windows in the bedrooms open widely with a one storey drop.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windows are safe for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Patrick's Home and Hospital Limited - St Patrick's Home and Hospital</w:t>
    </w:r>
    <w:bookmarkEnd w:id="58"/>
    <w:r>
      <w:rPr>
        <w:rFonts w:cs="Arial"/>
        <w:sz w:val="16"/>
        <w:szCs w:val="20"/>
      </w:rPr>
      <w:tab/>
      <w:t xml:space="preserve">Date of Audit: </w:t>
    </w:r>
    <w:bookmarkStart w:id="59" w:name="AuditStartDate1"/>
    <w:r>
      <w:rPr>
        <w:rFonts w:cs="Arial"/>
        <w:sz w:val="16"/>
        <w:szCs w:val="20"/>
      </w:rPr>
      <w:t>3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