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Feilding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Feilding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2016</w:t>
      </w:r>
      <w:bookmarkEnd w:id="7"/>
      <w:r w:rsidRPr="009418D4">
        <w:rPr>
          <w:rFonts w:cs="Arial"/>
        </w:rPr>
        <w:tab/>
        <w:t xml:space="preserve">End date: </w:t>
      </w:r>
      <w:bookmarkStart w:id="8" w:name="AuditEndDate"/>
      <w:r w:rsidR="00A4268A">
        <w:rPr>
          <w:rFonts w:cs="Arial"/>
        </w:rPr>
        <w:t>22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Woodlands of Feilding provides care for up to 39 residents across two service levels (rest home and hospital).  On the day of audit there were 21 rest home residents and 12 hospital residents.   </w:t>
      </w:r>
    </w:p>
    <w:p w:rsidRPr="00A4268A">
      <w:pPr>
        <w:spacing w:before="240" w:line="276" w:lineRule="auto"/>
        <w:rPr>
          <w:rFonts w:eastAsia="Calibri"/>
        </w:rPr>
      </w:pPr>
      <w:r w:rsidRPr="00A4268A">
        <w:rPr>
          <w:rFonts w:eastAsia="Calibri"/>
        </w:rPr>
        <w:t>The service is managed by an experienced manager who has been in the role for seventeen years.  The manager is supported by a clinical leader (registered nurse) and she has been in the post since 2009.  There is a team of registered nurses who have experience within the aged residential care environment.</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w:t>
      </w:r>
    </w:p>
    <w:p w:rsidRPr="00A4268A">
      <w:pPr>
        <w:spacing w:before="240" w:line="276" w:lineRule="auto"/>
        <w:rPr>
          <w:rFonts w:eastAsia="Calibri"/>
        </w:rPr>
      </w:pPr>
      <w:r w:rsidRPr="00A4268A">
        <w:rPr>
          <w:rFonts w:eastAsia="Calibri"/>
        </w:rPr>
        <w:t xml:space="preserve">The service has addressed eight of nine shortfalls identified at the previous audit relating to the consent process, policies and procedures, quality processes, education, the admission agreement, restraint and the environment.  Further improvements are required around assessment processes.   </w:t>
      </w:r>
    </w:p>
    <w:p w:rsidRPr="00A4268A">
      <w:pPr>
        <w:spacing w:before="240" w:line="276" w:lineRule="auto"/>
        <w:rPr>
          <w:rFonts w:eastAsia="Calibri"/>
        </w:rPr>
      </w:pPr>
      <w:r w:rsidRPr="00A4268A">
        <w:rPr>
          <w:rFonts w:eastAsia="Calibri"/>
        </w:rPr>
        <w:t>This audit has identified that improvements are required relating to corrective action plans and communication following internal audits, care plan interventions and evaluations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a policy to guide staff on the process around open disclosure.  Accident/incident forms have a section to indicate if family have been informed (or not) of an accident/incident.  Interviews with residents and relatives confirm family are kept informed of their family member’s current health status including any adverse events.  There is a complaints policy to guide practice.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continues to implement a quality and risk management framework that includes management of incidents, complaints and infection control surveillance data.  There is an implemented internal audit programme to monitor outcomes.  There is an appropriately experienced manager who provides guidance for the service and is supported by a clinical leader and experienced care staff.  There is an education plan that includes all required education as part of these standards.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 baseline assessment is completed upon admission and paper based assessments are undertaken within three weeks.  Long-term care plans are developed by the service’s registered nurses who also have the responsibility for maintaining and reviewing the plans.  </w:t>
      </w:r>
    </w:p>
    <w:p w:rsidRPr="00A4268A" w:rsidP="00621629">
      <w:pPr>
        <w:spacing w:before="240" w:line="276" w:lineRule="auto"/>
        <w:rPr>
          <w:rFonts w:eastAsia="Calibri"/>
        </w:rPr>
      </w:pPr>
      <w:r w:rsidRPr="00A4268A">
        <w:rPr>
          <w:rFonts w:eastAsia="Calibri"/>
        </w:rPr>
        <w:t xml:space="preserve">InterRAI assessment tools are in the process of being implemented.  Long-term plans are evaluated six monthly or more frequently when clinically indicated.  The service facilitates access to other medical and non-medical services.  Referral documentation is maintained on resident files.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using the computerised medication system.  Competencies are completed.  Medication profiles are up to date and reviewed by the general practitioner three monthly or earlier if necessary.  The menu is designed and reviewed by a registered dietitian.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which expires on 1 September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are four residents with restraint.  Staff are trained in restraint minimisation, challenging behaviour and de-escalation techniques.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8"/>
        <w:gridCol w:w="1280"/>
        <w:gridCol w:w="9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 files sampled they were current admission agreements on file.  The previous audit finding has been addressed.  Five resident files sampled all included consents and resuscitation directives.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The manager leads the investigation and management of complaints (verbal and written).  There is a complaints (and compliments) register.  Complaints are discussed at the monthly staff meeting.  There have been no complaints made in the year 2014 and 2015.  There have been a number of compliments that have been received across the 2015 period.  Discussion with residents (one hospital and three rest home) and relatives confirm they are aware of how to make a complaint.  The complaints procedure is provided to residents within the information pack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(or not) of an accident/incident.  Eight of eight incident forms reviewed identify family were notified following a resident incident.  Interviews with staff confirm that family are kept informed.  Three families interviewed (one rest home level and two hospital level) confirmed they were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provide care for up to 39 residents across two service levels (rest home and hospital).  On the day of audit there were 21 rest home residents including one younger person and 12 hospital residents.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Business Plan that covers both the Feilding and Palmerston North facilities and outlines objectives for the period.  There is an established and implemented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full-time manager (non-clinical) who reports through to the director (owner) monthly.  The manager is supported by a clinical leader who is a registered nurse.  There is a team of registered nurses who have experience within the aged residential care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of Feilding is implementing a quality and risk management system.  There are policies and procedures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Policies and procedures align with current practice.  The clinical leader collates incident and infection data.  Data is recorded accurately and is reported at staff meetings (sighted).  The previous audit findings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are taken to the monthly staff meetings and also discussed at monthly registered nurse meetings.  There are monthly resident meetings.  Meeting minutes demonstrate key components of the quality management system and are discussed including internal audits,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is implementing an internal audit programme that includes aspects of clinical care.  Issues arising from internal audits are seen to be resolved at the time.  Internal audit results are communicated to staff at the staff and registered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surveyed to gather feedback on the service provided.  Outcomes of the survey have not been fully communicated to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staff meeting.  Incident forms are completed by staff and the resident is reviewed by a registered nurse.  The clinical leader (RN) is also available after-hours, if required.  Family are notified by either the clinical leader or registered nurses.  Eight incident forms were reviewed.  All had been completed appropriately.  The service documents and analyses incidents/accidents, unplanned or untoward events and provides feedback to the service and staff so that improvements are made.  Discussions with service management, confirms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were reviewed (one manager, one clinical leader, one cook, one diversional therapist, one registered nurse and two caregivers) and all had relevant documentation relating to employment.  Performance appraisals are current in all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reviewed).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that includes all required education as part of these standards.  Interviews with staff confirm that training is provided.  A competency programme is in place with different requirements according to work type (e.g. caregiver, registered nurse and kitchen).  Core competencies are completed and a record of completion is maintained, with signed competency questionnaires sighted in files reviewed.  Lifting training was completed in August 2014 and infection control staff training was completed in May 2015.  The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Staffing is as follows: four caregivers in the morning (varying times), four during the afternoon (varying times) and one on night shift (2300-0730).  There is at least one registered nurse and one first aid qualified person on each shift.  The manager and clinical leader are both on call.  The caregivers, residents and relatives interviewed inform there is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and an initial assessment is completed on admission.  The service has specific information available for residents/families/whānau at entry and it includes associated information such as the Code of Consumer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booklet available to all residents on enquiry or admission.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Five signed admission agreements were sighted.  The admission agreement reviewed aligns with a) – k) of the ARC contract.  Exclusions from the service are included in the admission agreement.  This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follows recognised standards and guidelines for safe medicine management practice in accordance with the guideline: medicines care guides for aged residential care.  There is a locked medication room and all medications are stored securely.  Medications are checked as part of a monthly medication audit.  Equipment such as oxygen and suction is routinely checked.  All eyes drops were noted to be dated at opening.  No expired medications were noted on any trolleys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round was observed; the procedure followed by the registered nurse was correct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computerised medication system.  The use of the system to enable correct signing for medication administration has not been fully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self-medicating policy includes procedures on the safe administration of medicines.  There are currently no residents who self-administer.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kitchen service and all meals are cooked on site.  Fridge, freezer and meal temperatures are recorded and action taken as needed.  The kitchen was observed to be clean and well organised.  Meals are serviced in a separate dining room and meal services were observed to be managed well.</w:t>
            </w:r>
          </w:p>
          <w:p w:rsidR="00EB7645" w:rsidRPr="00BE00C7" w:rsidP="00BE00C7">
            <w:pPr>
              <w:pStyle w:val="OutcomeDescription"/>
              <w:spacing w:before="120" w:after="120"/>
              <w:rPr>
                <w:rFonts w:cs="Arial"/>
                <w:b w:val="0"/>
                <w:lang w:eastAsia="en-NZ"/>
              </w:rPr>
            </w:pPr>
            <w:r w:rsidRPr="00BE00C7">
              <w:rPr>
                <w:rFonts w:cs="Arial"/>
                <w:b w:val="0"/>
                <w:lang w:eastAsia="en-NZ"/>
              </w:rPr>
              <w:t>A full dietary assessment is completed on all residents at the time they are admitted.  The kitchen is alerted of any special diets, likes and dislikes, or meal texture required.  The cook was able to discuss residents and their dietary needs.  Resident meetings discuss food as part of their meetings.  Residents and family members praised the meals.  A registered dietitian reviews the menu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such as lipped plates, assist cups, grip and built up spoons.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The initial nursing assessment is completed within twenty-four hours of admission for all five files reviewed and the long-term care plan is completed within three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are interRAI trained and the process of assessing residents with interRAI has commenced.  None of the five files reviewed evidenced an interRAI assessment, all residents had comprehensive paper based assessments.  The service states that eight residents now have their first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found that resident weights had not been recorded and not all resident had been assessed fully on admission.  This has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is consistent with the needs of residents as demonstrated by discussion with the GP, family, residents, staff and management.</w:t>
            </w:r>
          </w:p>
          <w:p w:rsidR="00EB7645" w:rsidRPr="00BE00C7" w:rsidP="00BE00C7">
            <w:pPr>
              <w:pStyle w:val="OutcomeDescription"/>
              <w:spacing w:before="120" w:after="120"/>
              <w:rPr>
                <w:rFonts w:cs="Arial"/>
                <w:b w:val="0"/>
                <w:lang w:eastAsia="en-NZ"/>
              </w:rPr>
            </w:pPr>
            <w:r w:rsidRPr="00BE00C7">
              <w:rPr>
                <w:rFonts w:cs="Arial"/>
                <w:b w:val="0"/>
                <w:lang w:eastAsia="en-NZ"/>
              </w:rPr>
              <w:t>Review of long-term care plans evidences gaps in care plan interventions.</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in each of the three units.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Continence management in-service and wound management in-service has been provided as part of annual training.  Registered nurses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care plan folder documents four residents with wounds - two chronic wounds and two skin tears although one resident has two wound plans on one form.  There are no documented pressure injuries.  All of these wounds have documented assessments and a treatment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smaller wounds are not filed with the main wound file and the documentation is incomplete.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place for a range of short term and acute conditions such as infections and wounds.  Registered nurses interviewed were aware of the need to complete a short-term care plan following an acute event (falls for example) and for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employ a trained diversional therapist (DT) who works Monday to Friday.  A monthly activities programme is published each month.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an activities assessment and social history (This Is My Life) is taken and information from this is incorporated in to the resident’s individual activities plan.  This is reviewed six monthly as part of the care plan review/evaluation.  A record is kept of individual resident’s activities and progress notes are completed.  The resident/family/EPOA as appropriate is involved in the development of the activity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owns a van.  The DT has a current first aid certificate.  Residents and families interviewed confirmed the activity programme was developed around the interest of the residents.  Resident meetings are held monthly and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reviewed and resident care is evaluated six monthly for rest home residents and three monthly for hospital residents.  This was evidenced on all resident files reviewed.  Three and six monthly reassessments are paper based with the service moving towards interRAI (Link to 1.3.4.2).  Documentation of GP visits were evident that reviews were occurring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September 2016.  Corridors are wide in all areas to allow residents to pass each other safely.  There is safe access to all communal areas and outdoor areas.  There is outdoor seating and shade.  The previous finding around repairs to a shower has been rectified.</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Individual short-term care plans are available for each type of infection.  Surveillance of all infections is entered on to a monthly infection summary.  This data is monitored and evaluated monthly.  Outcomes and actions are discussed at the monthly quality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as evidenced in the restraint policy and interviews with the registered nurses and caregivers.  There are four residents with restraint and no enablers and all document regular review.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are congruent with the definition in NZS 8134.0.  The policy includes restraint procedures.</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procedures include: the approval process, assessment, recording/documenting use (consent), reducing the risks, evaluation, monitoring and quality review of use.  Staff are trained in restraint minimisation, challenging behaviour and de-escalation.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procedures include: the approval process, assessment, recording/documenting use (consent), reducing the risks, evaluation, monitoring and quality review of use.  Staff are trained in restraint minimisation, challenging behaviour and de-escalation.  The assessment forms have been updated since the previous audits and now include areas for consideration from A to H.  Two resident files reviewed with restraint, both included a documented assessment process.  This is an improvement on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6"/>
        <w:gridCol w:w="1280"/>
        <w:gridCol w:w="3764"/>
        <w:gridCol w:w="3821"/>
        <w:gridCol w:w="2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surveyed to gather feedback on the service provided.  The resident food satisfaction survey result for June 2015 showed an overall satisfaction rate of 96% and the resident satisfaction survey result for August 2015 showed an overall satisfaction rate of 86%.  Outcomes of these surveys have not been provided for residents and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and outcomes of the food satisfaction survey completed in June 2015 and the resident care survey completed in August 2015, have not been communicated to residents and relatives.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outcomes of the resident food satisfaction and resident care survey results are communicated to residents and families.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staff including operating process and procedures for the computerised medication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‘not administered’ medications on the electronic system evidences that the staff do not appropriately document when they give medications.  Triangulation of the ‘administered list’ with ten residents evidences that medications are given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who administer medications document this correctly on the computerised medication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wide range of paper based assessment tools both on admission and at least six monthly.  These are reflected into care plans.  The interRAI assessment tool was not evident in the sample of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yet to fully implement the interRAI assessment process for all new and existing residents.  One of five resident files reviewed (rest home) was admitted after 1 July 2105.  The file sample was extended to review two more recent admissions (one rest home and one hospital).  None of the three recent admissions had been assessed with the interRAI tool.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interRAI tool for resident assessment following admission and for six monthly reassessment and evaluation of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Four had been admitted for over six months.  These four all had six monthly assessments or more often in place that linked to care plans.  Care plan interventions are personalised.  There is a process for wound  plans where larger wounds are kept in a wound care file and ‘smaller wounds’ are filed in the residents own file.  Documentation was incomplete for wound care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does not have interventions recorded for identified choking risk and for care of a chronic wound; ii)  there is documented list of residents with ‘smaller wounds’.  Of the smaller wounds reviewed (three skin tears): one does not have the size of the wound documented, two have no dressing instructions and one has no documented evaluation; and iii) One resident has two wounds documented on one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identified resident risks are included in the resident care plans; ii)  Formalise a process for the recording of all identified wounds and ensure that all wounds have a documented management plan and are evaluated; and iii) Ensure that each wound has its own wound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Feilding</w:t>
    </w:r>
    <w:bookmarkEnd w:id="58"/>
    <w:r>
      <w:rPr>
        <w:rFonts w:cs="Arial"/>
        <w:sz w:val="16"/>
        <w:szCs w:val="20"/>
      </w:rPr>
      <w:tab/>
      <w:t xml:space="preserve">Date of Audit: </w:t>
    </w:r>
    <w:bookmarkStart w:id="59" w:name="AuditStartDate1"/>
    <w:r>
      <w:rPr>
        <w:rFonts w:cs="Arial"/>
        <w:sz w:val="16"/>
        <w:szCs w:val="20"/>
      </w:rPr>
      <w:t>22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