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Kauri Coast Hospital &amp;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Kauri Coast Hospital &amp;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February 2016</w:t>
      </w:r>
      <w:bookmarkEnd w:id="7"/>
      <w:r w:rsidRPr="009418D4">
        <w:rPr>
          <w:rFonts w:cs="Arial"/>
        </w:rPr>
        <w:tab/>
        <w:t xml:space="preserve">End date: </w:t>
      </w:r>
      <w:bookmarkStart w:id="8" w:name="AuditEndDate"/>
      <w:r w:rsidR="00A4268A">
        <w:rPr>
          <w:rFonts w:cs="Arial"/>
        </w:rPr>
        <w:t>10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Kauri Coast Home and Hospital is part of the Bupa group. The service is certified to provide rest home and hospital level care for up to 52 residents. On the day of audit, there were 46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care home manager has been in the role since August 2014 and the clinical manager has been in the role since October 2015. They are both supported by the operations manager.   </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Improvements are required around meeting minutes, interRAI assessments, care plan interventions, monitoring charts and restraint incidents.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Kauri Coast endeavours to ensure that care is provided in a way that focuses on the individual, values residents' quality of life and maintains their privacy and choice.  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annual reviews.  A risk management programme is in place, which includes managing adverse events and health and safety processes.  </w:t>
      </w:r>
    </w:p>
    <w:p w:rsidRPr="00A4268A">
      <w:pPr>
        <w:spacing w:before="240" w:line="276" w:lineRule="auto"/>
        <w:rPr>
          <w:rFonts w:eastAsia="Calibri"/>
        </w:rPr>
      </w:pPr>
      <w:r w:rsidRPr="00A4268A">
        <w:rPr>
          <w:rFonts w:eastAsia="Calibri"/>
        </w:rPr>
        <w:t xml:space="preserve">Kauri Coast has an established quality and risk management system that supports the provision of clinical care.  An annual resident/relative satisfaction survey is completed and there are regular resident/relative newsletters.  Residents receive appropriate services from suitably qualified staff.  Human resources are managed in accordance with good employment practice.  A comprehensive orientation programme is in place for new staff.  Ongoing education and training for staff is in place.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and a baseline assessment is completed upon admission.  An InterRAI assessment is completed along with other assessment tools, which assists in developing the care plan.  Registered nurses are responsible for care plan development with input from residents and family.  Planned activities are appropriate to the resident’s assessed needs and abilities.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There are two menus operating alongside each other at Kauri Coast which have been dietitian approved.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Kauri Coast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 monthly fire drills are conducted.  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 service had six residents using restraint in the form of bedrails and/or T-belts and five residents with bedrails as an enabler. Assessments, monitoring charts and a restraint register are in place.  Evaluations are completed individually and at restraint meetings.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41"/>
        <w:gridCol w:w="1280"/>
        <w:gridCol w:w="90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staff (four caregivers, one enrolled nurse, three registered nurses, care home manager, clinical manager, one activity coordinator),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Informed consent and advanced directives were recorded as evidenced in the seven resident files reviewed (four hospital and three rest home).  Advised by staff, that family involvement occurs with the consent of the resident.  Residents interviewed confirmed that information was provided to enable informed choices and that they were able to decline or withdraw their consent.  Resident admission agreements were signed.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also reviewed through the six monthly multidisciplinary team (MDT) meeting with residents and relatives and links to the quality system through annual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The service provides assistance to ensure that the residents are able to participate in as much as they desire and can safely do.  Resident meetings are held bimonthly. Regular newsletters are provided to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facility manager maintains a record of all complaints, both verbal and written, by using a complaints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are in a visible location at the entrance to the facility.  Five complaints received in 2015 were reviewed with evidence of appropriate follow-up actions taken.  </w:t>
            </w:r>
          </w:p>
          <w:p w:rsidR="00EB7645" w:rsidRPr="00BE00C7" w:rsidP="00BE00C7">
            <w:pPr>
              <w:pStyle w:val="OutcomeDescription"/>
              <w:spacing w:before="120" w:after="120"/>
              <w:rPr>
                <w:rFonts w:cs="Arial"/>
                <w:b w:val="0"/>
                <w:lang w:eastAsia="en-NZ"/>
              </w:rPr>
            </w:pPr>
            <w:r w:rsidRPr="00BE00C7">
              <w:rPr>
                <w:rFonts w:cs="Arial"/>
                <w:b w:val="0"/>
                <w:lang w:eastAsia="en-NZ"/>
              </w:rPr>
              <w:t>There is currently one complaint with the HDC office on behalf of the coroner’s office, who had raised concerns about staffs management of a resident’s pressure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entrance to the facility.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resident/family meetings.  All eight residents (five rest home level and three hospital level) and three relatives (three hospital) interviewed, report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The June 2015 resident satisfaction survey had a 95% outcome around privacy.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Māori staff who are employed by the service.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an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robust quality and risk management systems and these are implemented at Kauri Coast, and supported by a number of meetings held on a regular basis (link 1.2.3.6). Education is supported for all staff and a number of caregivers have enrolled or completed a national qualification.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qualified staff at Kauri Coast undertake specific roles e.g. (but not limited to): wound monitor, palliative care group, medication monitor, falls monitor, Careerforce coordinators and RN preceptor.  InterRAI is fully implemented at Kauri Coast.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examples where Kauri Coast has identified quality improvements from internal audits, incidents/accidents and complaints. Toolbox talks are routinely completed that link to benchmarking indicators in each of the two areas at Kauri Coast.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Registered nursing staff are available seven days a week, 24 hours a day.  A house general practitioner (GP) visits the facility two days a week.  The GP reviews residents identified as stable every three months, with more frequent visits for those residents whose condition is not deemed stable.  Physiotherapy services are provided on site, five hours per week.  There is a regular in-service education and training programme for staff.  A podiatrist is onsite every six-weeks.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established benchmarking groups for rest home, hospital, dementia, psychogeriatric/mental health services. Kauri Coast is benchmarked against the rest home and hospital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Bupa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w:t>
            </w:r>
          </w:p>
          <w:p w:rsidR="00EB7645" w:rsidRPr="00BE00C7" w:rsidP="00BE00C7">
            <w:pPr>
              <w:pStyle w:val="OutcomeDescription"/>
              <w:spacing w:before="120" w:after="120"/>
              <w:rPr>
                <w:rFonts w:cs="Arial"/>
                <w:b w:val="0"/>
                <w:lang w:eastAsia="en-NZ"/>
              </w:rPr>
            </w:pPr>
            <w:r w:rsidRPr="00BE00C7">
              <w:rPr>
                <w:rFonts w:cs="Arial"/>
                <w:b w:val="0"/>
                <w:lang w:eastAsia="en-NZ"/>
              </w:rPr>
              <w:t>Bupa has a bi-monthly clinical newsletter called Clinical Bites, which provides a forum to explore clinical issues, ask questions, share experiences and updates with all qualified nurses in the company.  Registered nurse interviewed at Kauri Coast could describe this.  Competencies are completed for key nursing skills. Registered nurses regularly access training, including sessions that are externally run. Bupa run a registered/enrolled nurse training day and clinically focused training sessions.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Twenty-three accident/incident forms reviewed (from January 2016),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Kauri Coast Rest Home and Hospital is a Bupa residential care facility.  The service currently provides care for up to 52 residents at hospital and/or rest home level care.  On the day of the audit there were 46 residents (29 hospital residents and one rest home resident in the hospital wing and 17 rest home residents in the 17 bed rest home wing).  Under the medical component of their certification, there were two ACC residents in the hospital, two YPD (one hospital, one rest home) and one respite resident.  There were no residents in the DHB short-stay funded 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Kauri Coast is part of the northern one Bupa region and the managers from this region meet two monthly to review and discuss the organisational goals and their progress towards these. The care home manager provides a weekly report to the Bupa operations manager.  The operations manager visits monthly and completes a report to the director of care homes and rehabilitation.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quarterly report is prepared by the care home manager and sent to the Bupa quality and risk team on the progress and actions that have been taken to achieve the Kauri Coast quality goals. </w:t>
            </w:r>
          </w:p>
          <w:p w:rsidR="00EB7645" w:rsidRPr="00BE00C7" w:rsidP="00BE00C7">
            <w:pPr>
              <w:pStyle w:val="OutcomeDescription"/>
              <w:spacing w:before="120" w:after="120"/>
              <w:rPr>
                <w:rFonts w:cs="Arial"/>
                <w:b w:val="0"/>
                <w:lang w:eastAsia="en-NZ"/>
              </w:rPr>
            </w:pPr>
            <w:r w:rsidRPr="00BE00C7">
              <w:rPr>
                <w:rFonts w:cs="Arial"/>
                <w:b w:val="0"/>
                <w:lang w:eastAsia="en-NZ"/>
              </w:rPr>
              <w:t>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is also in place.</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since August 2014.  He is a non-practising NZ registered nurse who has worked in the health and disability sector for 20 years.  The clinical manager has been in the role since October 2015.  The CM has previous aged care management experience.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who is employed full time, supports the care home manager, and steps in when the care home manager is absent.  The operations manager, who visits regularly, supports both managers.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operational plans, policies and procedures promote a safe and therapeutic focus for residents affected by the aging process and promotes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established.  Interviews with the managers and staff reflect their understanding of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Their quality goals in 2015 were to reduce medication errors. Statistically, they have improved over the last year from (RH) 7 incidents ratio to 3.3 and (Hosp) 4 to 1.5.</w:t>
            </w:r>
          </w:p>
          <w:p w:rsidR="00EB7645" w:rsidRPr="00BE00C7" w:rsidP="00BE00C7">
            <w:pPr>
              <w:pStyle w:val="OutcomeDescription"/>
              <w:spacing w:before="120" w:after="120"/>
              <w:rPr>
                <w:rFonts w:cs="Arial"/>
                <w:b w:val="0"/>
                <w:lang w:eastAsia="en-NZ"/>
              </w:rPr>
            </w:pPr>
            <w:r w:rsidRPr="00BE00C7">
              <w:rPr>
                <w:rFonts w:cs="Arial"/>
                <w:b w:val="0"/>
                <w:lang w:eastAsia="en-NZ"/>
              </w:rPr>
              <w:t>They have also reduced pressure injuries being managed within the care home.  The rate currently remains in line with the national average of 0.2 (ratio). They have purchased five air mattresses to replace the older versions (link 1.3.6.1). They have increased their training related to wound management and pressure injury prevention. Their processes and communication around the wound management has been reviewed and improved.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 falls, infection rates, complaints received, restraint use, pressure areas, wounds, and medication errors.  The service introduced weekly meetings with the management team and two nurses on duty.  They review all residents regarding past events and possible actions for the next days. Monthly the management team meet with the qualified nurses and discuss clinical issues, staffing issues, (new) nursing development, leadership issues and interRAI.</w:t>
            </w:r>
          </w:p>
          <w:p w:rsidR="00EB7645" w:rsidRPr="00BE00C7" w:rsidP="00BE00C7">
            <w:pPr>
              <w:pStyle w:val="OutcomeDescription"/>
              <w:spacing w:before="120" w:after="120"/>
              <w:rPr>
                <w:rFonts w:cs="Arial"/>
                <w:b w:val="0"/>
                <w:lang w:eastAsia="en-NZ"/>
              </w:rPr>
            </w:pPr>
            <w:r w:rsidRPr="00BE00C7">
              <w:rPr>
                <w:rFonts w:cs="Arial"/>
                <w:b w:val="0"/>
                <w:lang w:eastAsia="en-NZ"/>
              </w:rPr>
              <w:t>An annual internal audit schedule was sighted for the service, with evidence of internal audits occurring as per the audit schedule.  Quality and risk data, including trends in data are benchmarked.  Meeting minutes reviewed did not always identify follow through actions on quality data/trends and results of internal audits (also link 2.2.5.1). Corrective actions are implemented when service shortfalls are identified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An annual satisfaction survey is completed with residents and relatives.  The 2015 outcome identified a 92% result. They have implemented a more meaningful activities programme for their residents in response to feedback from the residents’ survey.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A health and safety system is in place.  Hazard identification forms and a hazard register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Incident/accident data is linked to the organisation's quality and risk management programme and is used for comparative purposes. Incidents are benchmarked and analysed for trends (link 1.2.3.6). Twenty-three accident/incident forms were reviewed.  Each event involving a resident reflected a clinical assessment and follow-up by a registered nurse (also link 2.2.5.1).  The managers are aware of their requirement to notify relevant authorities in relation to essential notifications.  One incident was reported to the Coroner and is currently under investigation (link 1.1.13.).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Seven staff files (clinical manager, unit coordinator, two RNs, three caregivers) reviewed evidenced implementation of the recruitment process, employment contracts, completed orientation, and annual performance appraisals.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staff are buddied for a period of time (e.g., caregivers two weeks, RN four weeks), and during this period they do not carry a clinical load.  The caregivers when newly employed complete an orientation booklet that has been aligned with foundation skills unit standards.  On completion of this orientation, they have effectively attained their first national certificates. From this, they are then able to continue with Core Competencies Level 3 unit standards. These align with Bupa policy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The caregivers undertake Aged Care Education (careerforce).  RNs attend six monthly training through Bupa.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seven qualified nurses have a current Bupa PDRP. All qualified staff are encouraged to complete at least the basic level. </w:t>
            </w:r>
          </w:p>
          <w:p w:rsidR="00EB7645" w:rsidRPr="00BE00C7" w:rsidP="00BE00C7">
            <w:pPr>
              <w:pStyle w:val="OutcomeDescription"/>
              <w:spacing w:before="120" w:after="120"/>
              <w:rPr>
                <w:rFonts w:cs="Arial"/>
                <w:b w:val="0"/>
                <w:lang w:eastAsia="en-NZ"/>
              </w:rPr>
            </w:pPr>
            <w:r w:rsidRPr="00BE00C7">
              <w:rPr>
                <w:rFonts w:cs="Arial"/>
                <w:b w:val="0"/>
                <w:lang w:eastAsia="en-NZ"/>
              </w:rPr>
              <w:t>Five RN’s have successfully completed the InterRAI training. One RN is currently training and the CM is due in April 2016.</w:t>
            </w:r>
          </w:p>
          <w:p w:rsidR="00EB7645" w:rsidRPr="00BE00C7" w:rsidP="00BE00C7">
            <w:pPr>
              <w:pStyle w:val="OutcomeDescription"/>
              <w:spacing w:before="120" w:after="120"/>
              <w:rPr>
                <w:rFonts w:cs="Arial"/>
                <w:b w:val="0"/>
                <w:lang w:eastAsia="en-NZ"/>
              </w:rPr>
            </w:pPr>
            <w:r w:rsidRPr="00BE00C7">
              <w:rPr>
                <w:rFonts w:cs="Arial"/>
                <w:b w:val="0"/>
                <w:lang w:eastAsia="en-NZ"/>
              </w:rPr>
              <w:t>The Northland DHB offers support to Kauri Coast via the Practice Development/Aged Residential Care Health of Older People and Clinical Support forum. Topics have included the management of poly-pharmacy, Discharge Planning to ARRC, First do not harm, advanced care planning, medication safety and other clinical support topics  like wound management and pressure injury prevention. In the last year most of these meeting has been attended by the two managers, and three RNs have attended some of the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support work, registered nurse, and cleaner).  Core competencies are completed annually and a record of completion is maintained (signed competency questionnaires sighted in reviewed files).  </w:t>
            </w:r>
          </w:p>
          <w:p w:rsidR="00EB7645" w:rsidRPr="00BE00C7" w:rsidP="00BE00C7">
            <w:pPr>
              <w:pStyle w:val="OutcomeDescription"/>
              <w:spacing w:before="120" w:after="120"/>
              <w:rPr>
                <w:rFonts w:cs="Arial"/>
                <w:b w:val="0"/>
                <w:lang w:eastAsia="en-NZ"/>
              </w:rPr>
            </w:pPr>
            <w:r w:rsidRPr="00BE00C7">
              <w:rPr>
                <w:rFonts w:cs="Arial"/>
                <w:b w:val="0"/>
                <w:lang w:eastAsia="en-NZ"/>
              </w:rPr>
              <w:t>RN competencies include assessment tools, BSLs/Insulin admin, CD admin, moving &amp; handling, nebuliser, oxygen admin, PEG tube care/feeds, restraint, wound management, CPR and T34 syringe driver.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levels meet contractual requirements.  The clinical manager is on-call after hours with other registered nurses.  The care home manager and clinical manager are available during weekdays.  Adequate RN cover is provided 24 hours a day, seven days a week.  Sufficient numbers of caregivers support RNs. Interviews with the residents and relatives confirmed staffing overall was satisfactory. There is a unit coordinator assigned to the rest home wing.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and an initial assessment is completed on admission.  The service has specific information available for residents and families at entry and it included associated information such as the Code, advocacy and complaints procedure.  The admission agreement reviewed aligned with the ARC contract and exclusions from the service were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transfer/discharge/exit procedures include a transfer/discharge form and the completed form is placed on file.  The service stated that a staff member escorts the resident if no family are available to assist with transfer, and copies of documentation were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comprehensive medication policies in place.  Medication storage and administration follow safe guidelines.  Medication reconciliation is completed on admission and the policy includes guidelines on checking medications on admission.</w:t>
            </w:r>
          </w:p>
          <w:p w:rsidR="00EB7645" w:rsidRPr="00BE00C7" w:rsidP="00BE00C7">
            <w:pPr>
              <w:pStyle w:val="OutcomeDescription"/>
              <w:spacing w:before="120" w:after="120"/>
              <w:rPr>
                <w:rFonts w:cs="Arial"/>
                <w:b w:val="0"/>
                <w:lang w:eastAsia="en-NZ"/>
              </w:rPr>
            </w:pPr>
            <w:r w:rsidRPr="00BE00C7">
              <w:rPr>
                <w:rFonts w:cs="Arial"/>
                <w:b w:val="0"/>
                <w:lang w:eastAsia="en-NZ"/>
              </w:rPr>
              <w:t>All staff administering medication have completed an annual medication competency.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were reviewed.  They were legible and met legislative guidelines including photographic identification.  Signing on administration was up to date, including as required medications (PRN).  All PRN medications had ‘indications for use’ identified on the medication chart.  All medication charts identified any allergies.  Medication charts reviewed had written evidence of the GP three monthly reviews, or more as conditions changed, all had been signed and dated.  Weekly medication checks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national menus have been audited and approved by a dietitian.  At Kauri Coast there is an additional option available on the menu.  The service employs two kitchen cooks and kitchen assistants.  Fridge temperatures are monitored and documented daily.  All food containers are labelled and dated.  Food is stored on shelves.  Meals are prepared in the kitchen and served to rest home residents in the adjacent dining room.  Meals are delivered to the hospital dining room.</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and likes and dislikes including residents under 65 years old.  This is reviewed six monthly.  Changes to residents’ dietary needs are communicated to the kitchen as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to the service would be recorded on the declined entry form. When this has occurred, the service stated it had communicated to the resident/family/EPOA and the appropriate referrer.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Personal needs information is gathered during admission which formed the basis of resident goals and objectives.  Bupa assessment booklets were completed for all the resident files reviewed.  InterRAI initial assessments and assessment summaries were evident in printed format in five of seven files reviewed (link 1.3.3.3).  The assessment booklet provides in-depth assessment across all domains of care and is an add-on to the InterRAI assessment.  Files reviewed across the rest home and hospital identified that risk assessments have been completed on admission and reviewed six monthly as part of the evaluation.  Appropriate risk assessments had been completed for individual residents, but were not always reflected in care plans reviewed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10 resident files sampled (sample increased to follow assessed risk areas followed through from incident forms reviewed) included interventions for assessed needs (link 1.3.6.1).  The service has a specific short term care plan that included short term cares (link 1.3.6.1).  Resident files reviewed identified that family were involved in the care plan development and on-going care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One short stay resident reviewed included assessments and a short stay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nurses initiate a review and if required, GP or specialist consultation.  Two hourly turns were documented on restraint monitoring charts.  However, caregivers interviewed were unsure which residents required 2-hourly turns. Instructions were not clear in care plans for those residents that required 2 hourly turns or other monitoring requirements. Interventions were not all clearly documented to address resident’s identified risks.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stated that they have all the necessary equipment referred to in care plans to provide care.  All staff report that there is always adequate continence supplies and dressing supplies.  Residents and families interviewed were complimentary of care received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RN follow up was not completed for one resident with documented variable weights.  There is a short-term care plan that is used for acute or short-term changes in health status.  Dressing supplies are available and a treatment room is stocked for use.</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wound management plans are in place.  Review of current wounds identified four wounds have been reviewed in the timeframes and five pressure injuries.   Pressure relieving mattresses were not all set at the correct weight (noting training had been provided to staff Sept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activity co-ordinator, plus one caregiver/activity assistant who takes residents for van trips.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 and varied activities programme in place which is appropriate to the level of participation from residents with regular weekly outings.  On the day of audit residents in all areas were observed being actively involved with a variety of activities.  The programme is developed monthly and displayed weekly in large print in communal areas.  Residents and families interviewed voiced their satisfaction for the activities programme and felt that recreational needs were being met. One resident under 65 years old reported that their individual needs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activities assessment completed over the first few weeks.  Resident files reviewed identified that the individual activity plan is reviewed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have been evaluated at least six monthly and have been updated as changes were noted in care requirements.  Care plan evaluations relate to each aspect of the care plan and record the degree of achievement of goals and interventions (Link 1.3.6.1).  Short term care plans are utilised for residents and any changes to the long term care plan have been dated and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occurred, referral documentation is maintained.  Residents' and or their family/EPOA are involved as appropriate when referral to another service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chemicals were stored securely.  Product use charts were available and the hazard register identifies hazardous substances.  Gloves, aprons, and goggles are available for staff.  Safe chemical handling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Hot water temperatures are checked weekly.  Medical equipment and electrical appliances have been tested, tagged and calibrated.  Regular and reactive maintenance occurs.  Residents were observed to mobilise safely within the facility.  There are sufficient seating areas throughout the facility.  The exterior has been well maintained with safe paving, outdoor shaded seating, lawn and gardens.  Caregivers interviewed confirmed there is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rooms with full ensuites and rooms without ensuites.  There are sufficient numbers of resident communal toilets and showers in close proximity to resident rooms and communal areas.  Visitor toilet facilities are available.  Residents interviewed state their privacy and dignity is maintained while attending to their personal cares and hygiene.  The communal toilets and showers are well signed and identifiable and include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spacious enough to meet the assessed resident needs.  Residents are able to manoeuvre mobility aids around the bed and personal space.  All beds are of an appropriate height for the residents.  Caregivers interviewed reported that rooms have sufficient room to allow cares to take place.  The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lounge and dining room for both rest home and hospital level residents.  The dining rooms and lounges are spacious.  All areas are easily accessible for the residents.  The furnishings and seating are appropriate for the consumer group.  Residents interviewed report they are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sluice and separate laundry area where all linen and personal clothing is laundered by designated laundry staff.  Staff have attended infection control education and there is appropriate protective clothing available.  Manufacturer’s data safety charts are available.  Residents and family interviewed reported satisfaction with the laundry service and cleanliness of the room/facility.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are in place.  An approved fire evacuation plan is in place.  Fire evacuation drills take place every six months.  The orientation programme and annual education and training programme include mandatory fire and security training.  Staff interviews confirm their understanding of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Required fire equipment was sighted on the day of audit and all equipment has been checked within required timeframes.  A civil defence plan is in place.  There are adequate supplies in the event of a civil defence emergency including food, water, blankets, gas bbq cooking and back-up power.</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There is a minimum of one person who is available 24 hours a day, seven days a week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Staff are well informed about infection control practises and reporting. The infection control coordinator is a registered nurse and is responsible for infection control across the facility.  The committee and the Bupa governing body in conjunction with Bug Control, is responsible for the development of the infection control programme and its review.  The infection control programme is well established at Kauri Coast. The infection control committee consists of a cross-section of staff and there is external input as required from general practitioners, Bupa quality &amp; risk team and Medlab.  There was a diarrhoea outbreak in the hospital in 2015 that involved four residents.  This was well managed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Kauri Coast.  The infection control (IC) nurse has maintained best practice by completing infection control updates online. The infection control team is representative of the facility.  External resources and support are available through the Bupa quality &amp; risk team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It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Orientation package includes specific training around hand hygiene and standard precautions. Infection control training is regularly held, including (but not limited to) food safety (November 2015), and infection prevention &amp; control (December 2015).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received education both in-house and by an external provider to enhance her skills and knowledge. The infection control coordinator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toolbox talks have been provided including (but not limited to) standard precautions.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and southern community laboratory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statistics are included for benchmarking.  Corrective actions are established where trends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is reviewed through internal audits, facility meetings, and regional restraint meetings and at an organisational level.   Interviews with the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 service had six residents using restraint in the form of bedrails and/or T-belts and five residents with bedrails as an enabler. All enabler use is voluntary. Two resident files of enabler use were reviewed.  The enabler assessment form was completed and signed by the resident.  These had been evaluated at least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staff that have completed a competency assessment are permitted to apply restraints. Competency assessments expire annually and are renewed by the restraint coordinator. There is a responsibilities and accountabilities table in the restraint policy that includes responsibilities for key staff at an organisation level and a service level. The restraint coordinator is a registered nurse and has a signed job description.  The restraint coordinator was unavailable for interview during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Suitably qualified and skilled staff, in partnership with the resident and their family/whānau, undertake assessments.  A registered nurse is the restraint coordinator.  Restraint assessments are based on information in the care plan, resident discussions and on observations from the staff.  Three restraint files were reviewed and all included a restraint assessment tool.  The care plans reviewed were up-to-date in two of three files reviewed and provided the basis of factual information in assessing the risks of safety and the need for restraint (link 1.3.6.1).  Ongoing consultation with the resident and family/whānau is also identified.  Falls risk assessments are completed six monthly and InterRAI assessment identifies risk and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There are approved restraints documented in the policy.  The approval process includes ensuring the environment is appropriate and safe.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reviewed refers to specific interventions or strategies to try (as appropriate) before use of restraint. The care plan reviewed of two of three hospital residents with restraint, identified observations and monitoring (link 1.3.6.1).  Restraint use is reviewed through the three monthly evaluation, two monthly restraint meetings and six monthly multidisciplinary meeting and includes family/whānau input.  A restraint register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three monthly as part of the ongoing reassessment for the residents on the restraint register, and as part of their care plan review.  The family is included as part of the MDR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approved restraint is reviewed at least bimonthly through the restraint meeting and as part of the internal audit programme.  Restraint incidents were not included through the ‘restraint incident’ benchmarking indicators.  Restraint usage throughout the organisation is also monitored regularly and is benchmarked. Review of this use across the group is discussed at the Regional Restraint Approval group and information is disseminated throughout the organisation. The organisation and facility are proactive in minimising restraint usage.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00"/>
        <w:gridCol w:w="1280"/>
        <w:gridCol w:w="2404"/>
        <w:gridCol w:w="4662"/>
        <w:gridCol w:w="13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Audit summaries and action plans are completed as required depending on the result of the audit.   Key issues are not always documented as reported to appropriate committee.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reports are generated throughout the year to review performance over a 12-month period.  Quality action forms are utilised at Kauri Coast and document actions that have improved outcomes or efficiencies in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did not all include feedback on internal audits or follow through to identify actions in response to quality data/trends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meeting minutes reflect feedback on internal audits and follow through of analysis of quality data to identify opportunities for improvement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seven resident files reviewed had full comprehensive assessments, including interRAI assessments, behavioural, falls and pressure area risk.  All assessments have been signed and dated by the registered nurse and reviewed six monthly, or more as condition changed.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seven resident files (two rest home) did not include an interRAI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that the interRAI assessment is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policies and procedures regarding monitoring, assessment and care planning to guide staff.  The GP spoke positively about care provided to residents.  Staff were witnessed on day of audit providing appropriate care to residents.  Shortfalls were identified around care planning documentation in the hospital and implementation of monitoring charts.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1.The following shortfalls were identified in documentation review of four of seven hospital files reviewed (sample increased due to follow up of three incidents);  (i) The long term care plan for a hospital resident with a current PI did not include pressure injury prevention strategies as the pressure risk assessment stated ‘no risk;  (ii) The generic STCP in place around the PI management for the same resident did not align with current needs; (iii) De-escalation techniques and supervised walks were not fully documented in the care plan for hospital resident with behaviours that challenge.  The same resident was assessed as requiring T-belt restraint.  The restraint or associated risks were not documented in the care plan; (iv) One hospital resident with identified pain and intermittent CDs had no documented pain management strategies in the long term care plan; (v) One hospital resident identified as a high falls risk had no falls prevention strategies documented; (vi) Continence management interventions were not clearly documented in two hospital files reviewed.</w:t>
            </w:r>
          </w:p>
          <w:p w:rsidR="00EB7645" w:rsidRPr="00BE00C7" w:rsidP="00BE00C7">
            <w:pPr>
              <w:pStyle w:val="OutcomeDescription"/>
              <w:spacing w:before="120" w:after="120"/>
              <w:rPr>
                <w:rFonts w:cs="Arial"/>
                <w:b w:val="0"/>
                <w:lang w:eastAsia="en-NZ"/>
              </w:rPr>
            </w:pPr>
            <w:r w:rsidRPr="00BE00C7">
              <w:rPr>
                <w:rFonts w:cs="Arial"/>
                <w:b w:val="0"/>
                <w:lang w:eastAsia="en-NZ"/>
              </w:rPr>
              <w:t>2. The following shortfalls were identified around implementation of care; (i) staff interviewed were unsure which residents required regular turning and when residents were turned, these were documented on the restraint monitoring records (if they were in place); (ii) Monitoring charts currently in use were not reflected as an intervention for staff in long term care plans; (iii) Three hospital residents on a pressure mattress had the settings on the incorrect weight.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Ensure care plans include interventions to reflect the current needs of residents: 2. (i) – (ii) Ensure monitoring charts are fully completed as directed in the care plans, (iii) Ensure pressure mattresses are set at the correct weight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reviewed through the quality and restraint meetings and restraint practices/documentation is reviewed through the 6 monthly internal audit.  Restraint use is benchmarked across the organisation.  Management of restraint incidents was not fully documented to manage risks.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with nine separate restraint incidents did not have those incidents included for discussion in the restraint committee or included as part of the ‘restraint incident’ benchmarking indicators.  As a result, interventions were not implemented to minimise the risk to the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incidents related to restraint use are fully reviewed and evaluated and actions implemented to minimise ongoing risks to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Kauri Coast Hospital &amp; Rest Home</w:t>
    </w:r>
    <w:bookmarkEnd w:id="58"/>
    <w:r>
      <w:rPr>
        <w:rFonts w:cs="Arial"/>
        <w:sz w:val="16"/>
        <w:szCs w:val="20"/>
      </w:rPr>
      <w:tab/>
      <w:t xml:space="preserve">Date of Audit: </w:t>
    </w:r>
    <w:bookmarkStart w:id="59" w:name="AuditStartDate1"/>
    <w:r>
      <w:rPr>
        <w:rFonts w:cs="Arial"/>
        <w:sz w:val="16"/>
        <w:szCs w:val="20"/>
      </w:rPr>
      <w:t>9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