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Age Health Care Limited - Abbey Heights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Age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Abbey Heights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2016</w:t>
      </w:r>
      <w:bookmarkEnd w:id="7"/>
      <w:r w:rsidRPr="009418D4">
        <w:rPr>
          <w:rFonts w:cs="Arial"/>
        </w:rPr>
        <w:tab/>
        <w:t xml:space="preserve">End date: </w:t>
      </w:r>
      <w:bookmarkStart w:id="8" w:name="AuditEndDate"/>
      <w:r w:rsidR="00A4268A">
        <w:rPr>
          <w:rFonts w:cs="Arial"/>
        </w:rPr>
        <w:t>24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Abbey Heights Rest Home is one of three aged care facilities owned and operated privately by a husband and wife team. It is able to cater for up to 24 rest home care residents.  On the day of audit there are 21 residents. </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general practitioner was not available on the days of audit.</w:t>
      </w:r>
    </w:p>
    <w:p w:rsidRPr="00A4268A">
      <w:pPr>
        <w:spacing w:before="240" w:line="276" w:lineRule="auto"/>
        <w:rPr>
          <w:rFonts w:eastAsia="Calibri"/>
        </w:rPr>
      </w:pPr>
      <w:r w:rsidRPr="00A4268A">
        <w:rPr>
          <w:rFonts w:eastAsia="Calibri"/>
        </w:rPr>
        <w:t>All residents have English as a second language. Staff employed match the ethnicity and language variance of the residents. Interviews with staff, residents and family/whānau members were undertaken with the assistance of an independent approved interpreter.</w:t>
      </w:r>
    </w:p>
    <w:p w:rsidRPr="00A4268A">
      <w:pPr>
        <w:spacing w:before="240" w:line="276" w:lineRule="auto"/>
        <w:rPr>
          <w:rFonts w:eastAsia="Calibri"/>
        </w:rPr>
      </w:pPr>
      <w:r w:rsidRPr="00A4268A">
        <w:rPr>
          <w:rFonts w:eastAsia="Calibri"/>
        </w:rPr>
        <w:t>There are no areas identified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Families interviewed reported that staff work in a caring manner and respect each resident. </w:t>
      </w:r>
    </w:p>
    <w:p w:rsidRPr="00A4268A">
      <w:pPr>
        <w:spacing w:before="240" w:line="276" w:lineRule="auto"/>
        <w:rPr>
          <w:rFonts w:eastAsia="Calibri"/>
        </w:rPr>
      </w:pPr>
      <w:r w:rsidRPr="00A4268A">
        <w:rPr>
          <w:rFonts w:eastAsia="Calibri"/>
        </w:rPr>
        <w:t>A copy of the Code brochure is available in Chinese and other languages as required. There were no residents who identified as Maori residing at the service at the time of audit.</w:t>
      </w:r>
    </w:p>
    <w:p w:rsidRPr="00A4268A">
      <w:pPr>
        <w:spacing w:before="240" w:line="276" w:lineRule="auto"/>
        <w:rPr>
          <w:rFonts w:eastAsia="Calibri"/>
        </w:rPr>
      </w:pPr>
      <w:r w:rsidRPr="00A4268A">
        <w:rPr>
          <w:rFonts w:eastAsia="Calibri"/>
        </w:rPr>
        <w:t xml:space="preserve">Written consents are obtained from the resident, residents' family/whanau, enduring power of attorney (EPOA) or appointed guardians, as required. Signed consent forms were sighted in all residents' files reviewed. </w:t>
      </w:r>
    </w:p>
    <w:p w:rsidRPr="00A4268A">
      <w:pPr>
        <w:spacing w:before="240" w:line="276" w:lineRule="auto"/>
        <w:rPr>
          <w:rFonts w:eastAsia="Calibri"/>
        </w:rPr>
      </w:pPr>
      <w:r w:rsidRPr="00A4268A">
        <w:rPr>
          <w:rFonts w:eastAsia="Calibri"/>
        </w:rPr>
        <w:t xml:space="preserve">The organisation provides services that reflect current accepted good practice and this was evident in the progress notes. </w:t>
      </w:r>
    </w:p>
    <w:p w:rsidRPr="00A4268A">
      <w:pPr>
        <w:spacing w:before="240" w:line="276" w:lineRule="auto"/>
        <w:rPr>
          <w:rFonts w:eastAsia="Calibri"/>
        </w:rPr>
      </w:pPr>
      <w:r w:rsidRPr="00A4268A">
        <w:rPr>
          <w:rFonts w:eastAsia="Calibri"/>
        </w:rPr>
        <w:t xml:space="preserve">The organisation respects and supports the right of the resident to make a complaint. The service has a complaints register and the information is recorded to meet all the requirements of the standard. There were no outstanding complaints at the time of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business plan. Planning covers business strategies for all aspects of service delivery to ensure services are delivered in a manner to meet residents’ needs. </w:t>
      </w:r>
    </w:p>
    <w:p w:rsidRPr="00A4268A">
      <w:pPr>
        <w:spacing w:before="240" w:line="276" w:lineRule="auto"/>
        <w:rPr>
          <w:rFonts w:eastAsia="Calibri"/>
        </w:rPr>
      </w:pPr>
      <w:r w:rsidRPr="00A4268A">
        <w:rPr>
          <w:rFonts w:eastAsia="Calibri"/>
        </w:rPr>
        <w:t xml:space="preserve">The quality and risk system and processes support effective, timely service delivery. Corrective action planning is implemented to manage any areas of concern or deficits.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w:t>
      </w:r>
    </w:p>
    <w:p w:rsidRPr="00A4268A">
      <w:pPr>
        <w:spacing w:before="240" w:line="276" w:lineRule="auto"/>
        <w:rPr>
          <w:rFonts w:eastAsia="Calibri"/>
        </w:rPr>
      </w:pPr>
      <w:r w:rsidRPr="00A4268A">
        <w:rPr>
          <w:rFonts w:eastAsia="Calibri"/>
        </w:rPr>
        <w:t xml:space="preserve">The day to day operation of the facility is undertaken by staff that are appropriately experienced, educated and qualified. Residents and family/whānau confirmed during interview that all their needs and wants are met.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Pr="00A4268A">
      <w:pPr>
        <w:spacing w:before="240" w:line="276" w:lineRule="auto"/>
        <w:rPr>
          <w:rFonts w:eastAsia="Calibri"/>
        </w:rPr>
      </w:pPr>
      <w:r w:rsidRPr="00A4268A">
        <w:rPr>
          <w:rFonts w:eastAsia="Calibri"/>
        </w:rPr>
        <w:t xml:space="preserve">Resident information is accurately recorded and kept confidentially. </w:t>
      </w:r>
    </w:p>
    <w:p w:rsidRPr="00A4268A">
      <w:pPr>
        <w:spacing w:before="240" w:line="276" w:lineRule="auto"/>
        <w:rPr>
          <w:rFonts w:eastAsia="Calibri"/>
        </w:rPr>
      </w:pPr>
      <w:r w:rsidRPr="00A4268A">
        <w:rPr>
          <w:rFonts w:eastAsia="Calibri"/>
        </w:rPr>
        <w:t xml:space="preserve">All residents have English as a second language. All but one resident is Asian. The service employs staff to match the ethnicity and language variance of the residents. Interviews with staff, residents and family/whānau members were undertaken with the assistance of an independent approved interpreter. </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 (RN) on admission to the service. The service meets the contractual time frames for the development of the long term care plan. When there are changes in the resident’s needs, a short term care plan is implemented to reflect these changes. The care plan evaluations are conducted at least six monthly on all aspects of the care plan.</w:t>
      </w:r>
    </w:p>
    <w:p w:rsidRPr="00A4268A" w:rsidP="00621629">
      <w:pPr>
        <w:spacing w:before="240" w:line="276" w:lineRule="auto"/>
        <w:rPr>
          <w:rFonts w:eastAsia="Calibri"/>
        </w:rPr>
      </w:pPr>
      <w:r w:rsidRPr="00A4268A">
        <w:rPr>
          <w:rFonts w:eastAsia="Calibri"/>
        </w:rPr>
        <w:t>All residents have the required interRAI assessments completed. Residents are reviewed by a GP on admission to the service and at least three monthly, or more frequently to respond to any changing needs. The provision of services is provided to meet the individual needs of the residents. The families interviewed reported that care plans are implemented and that the service manages the residents in a manner that is professional and caring.</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Staff responsible for medicine management have been assessed as competent to do so.</w:t>
      </w:r>
    </w:p>
    <w:p w:rsidRPr="00A4268A" w:rsidP="00621629">
      <w:pPr>
        <w:spacing w:before="240" w:line="276" w:lineRule="auto"/>
        <w:rPr>
          <w:rFonts w:eastAsia="Calibri"/>
        </w:rPr>
      </w:pPr>
      <w:r w:rsidRPr="00A4268A">
        <w:rPr>
          <w:rFonts w:eastAsia="Calibri"/>
        </w:rPr>
        <w:t>Residents' nutritional requirements are met by the service with likes, dislikes and special diets catered for and food available 24 hours a day. The service has a four week summer/winter rotating menu which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processes in place to protect residents, visitors and staff from harm as a result of exposure to waste or infectious substance. There are documented emergency management response processes which were understood and implemented by staff. Residents understand emergency evacuation processes.</w:t>
      </w:r>
    </w:p>
    <w:p w:rsidRPr="00A4268A">
      <w:pPr>
        <w:spacing w:before="240" w:line="276" w:lineRule="auto"/>
        <w:rPr>
          <w:rFonts w:eastAsia="Calibri"/>
        </w:rPr>
      </w:pPr>
      <w:r w:rsidRPr="00A4268A">
        <w:rPr>
          <w:rFonts w:eastAsia="Calibri"/>
        </w:rPr>
        <w:t xml:space="preserve">The building has a current building warrant of fitness and the service has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The facilities meet residents’ needs and provide furnishings and equipment that is regularly maintained.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heating is electric with central heating in the main lounge area. Opening doors and windows creates an air floor to keep the facility cool when required. The outdoor areas provide furnishings and shade for residents’ use.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Abbey Heights Rest Home has an electronic gate to enter and exit the grounds. The service acknowledges this is environmental restraint for which assessment and monitoring is not required.  There are appropriate systems in place to manage this so that resident movements are not restricted in any manner.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the spread of infection and reduce the risks to residents, staff and visitors. The surveillance programme is appropriate for the size and nature of the services provided. Monthly surveillance data and audits are recorded, collated and reported to management, and quarterly to an external agency. The Infection Control Coordinator (ICC) is suitably qualified for the role and implements and reviews the infection control programme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2"/>
        <w:gridCol w:w="1280"/>
        <w:gridCol w:w="8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using an interpreter reported that they are treated with respect and dignity.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as was confirmed in interview with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on the form.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The RN discusses information on informed consent with the resident and family on admission. The files reviewed had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their families are aware of their right to have support persons. This was confirmed in interview with residents and family. The advocacy brochure is available in Chinese and other languages.</w:t>
            </w:r>
          </w:p>
          <w:p w:rsidR="00EB7645" w:rsidRPr="00BE00C7" w:rsidP="00BE00C7">
            <w:pPr>
              <w:pStyle w:val="OutcomeDescription"/>
              <w:spacing w:before="120" w:after="120"/>
              <w:rPr>
                <w:rFonts w:cs="Arial"/>
                <w:b w:val="0"/>
                <w:lang w:eastAsia="en-NZ"/>
              </w:rPr>
            </w:pPr>
            <w:r w:rsidRPr="00BE00C7">
              <w:rPr>
                <w:rFonts w:cs="Arial"/>
                <w:b w:val="0"/>
                <w:lang w:eastAsia="en-NZ"/>
              </w:rPr>
              <w:t>Education from the Nationwide Health and Disability Advocacy Service is undertaken annually as part of the in-service education programme. The staff interviewed report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supported to be able to remain in contact with the community by outings and the walks to local shops and parks. Policy includes procedures to be undertaken to assist residents to access community services and a van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portable phone which is taken to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Evidence in files reviewed showed attendance at DHB for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Abbey Heights Rest Home implements organisational policies and procedures to ensure complaints processes which reflect a fair complaints system. Residents, family/whānau and staff reported during interview that they understand the complaints processes in place and are aware of where to find written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register in place which identifies the nature of the complaint, the dates received and the actions taken to address the complaints. Documented complaints information is used to improve services as appropriate. Complaints information is shared at staff meetings and with the owner/director. This is confirmed in meeting minutes sighted and during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outstanding complaints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Opportunities for discussion and clarification relating to the Code are provided to residents and their families, as confirmed by interview with the RN.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ensure privacy by knocking on doors before entering and closing on exit if requested. The process for accessing personal health information is detailed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files reviewed of the residents' goals which are personalised and reviewed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knowledge of residents' rights and understand the principles of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using an interpreter that they are treated with patience and encouraged to be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relevant policy reviewed included a range of cultural issues/considerations for staff to be aware and a commitment to the Treaty of Waitangi.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Maori residents in the service at the time of audit. Education was given to staff on the Treaty of Waitangi in 2015 and staff interviewed reported that they understand the principles of the Treaty of Waitangi and attend the education annually. Staff verbalised on interview their knowledge of the Treaty of Waitangi and respect for different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assesses the cultural and/or spiritual needs of the resident in consultation with the resident and family as part of the admission process. Specific health needs and food preferences are identified on admission. The care plan is developed to ensure that care and services are delivered in a culturally and/or spiritually sensitive manner in accordance with protocols/guidelines as requested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satisfaction surveys monitor satisfaction. Residents and their families are satisfied with the services provided as confirmed in interviews with residents using an interpreter.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on the need to respect the individual’s culture and values. All residents except one are of Chinese descent and their specific needs are identified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descriptions and the Code of Rights define residents’ rights relating to discrimination. There was no evidence of any behaviour that requires reporting and interviews with residents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care staff undertaking or completed the National Certificate in the Care of the Elderly Education programme. All staff have an up to date first aid certificates and all staff who administer medication have yearly assessments to determine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RN attends education sessions run by the DHB and other local organisations. The planned yearly education programme reviewed included sessions that ensures an environment of good practice. The food service cooks have fulfilled the requirements of safe food handling. Residents’ reported on interview satisfaction with the meals and food and that any concerns are listened to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Abbey Heights has a business plan in place which is fully reviewed annually and monitored quarterly to measure progress towards meeting set goals. The plan identifies both strategic and workplace goals which show how services are planned, coordinated and delivered to meet residents’ needs. The organisation’s philosophy, mission statement and values are clearly documented and the owner/director confirms they underpin all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The current owner/managers have operated the facility for nine years. One owner/manager works at the facility two days a week and he has a close working relationship with the facility manager who has been in the role for over seven years. Both managers maintain their knowledge by attendance at conferences, in-service education which covers management and clinical issues. All clinical services are overseen by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process in place which allows the day to day operation of services to be managed in an effective manner when a member of management is on holiday. For example, registered nurse cover is obtained from one of the other sister facilities owned by the same owner/directors and therefore all staff are aware of policies, procedures and processes to ensure there is no disruption to services. The managers relieve each other to ensure the role is fully covered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Abbey Heights Rest Home has a quality and risk management system which is understood and implemented by service providers. This includes the update of policies and procedures which are managed by an off-site organisation, regular internal audits, incident and accident reporting, health and safety reporting, infection control data collection, restraint and complaints management. If an issue or deficit is found a recommendation is written and corrective actions are put in place to address the situation. Information is shared with all staff as confirmed in meeting minutes sighted and verified by staff interviewed.   Strategic and workplace goal achievements are measured by the use of key performance indicators at quarterly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the replacement of the washing machine and the increase in staffing clinical hours.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health and safety representative and has completed appropriate training for this role. Actual and potential risks are identified using the quality and risk planning processes. Newly found hazards are discussed at staff meetings and residents are informed as appropriate. Staff confirmed that they understood and implemented documented hazard identification processes. The hazard register sighted covers all aspects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facility manager confirmed his awareness of the organisation’s requirement related to statutory and or/regulatory reporting obligations. This is confirmed in the reporting data sighted related to an outbreak of diarrhoea in December 2015. The RN confirms here knowledge and understanding of the need to record and report pressure injuries and what level needs to be reported to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six residents’ files and the 2016 incident and accident forms sighted identify that accident and incident forms are used to report all issues. The incident and accident forms identify any corrective actions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notification is clearly shown and confirmed during family/whānau interviews. Family/whānau are notified of any adverse events or concerns they have about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during interview that information gathered from incident and accidents is used as an opportunity to improve services where indicated. One example relates to the purchase and use of sensor mats for residents who will not use their call bells when getting out of bed which can result in frequent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is reflected in the five staff files reviewed. All roles have job descriptions that describe staff responsibilities. Staff complete an orientation programme with specific competencies for their roles. Documentation in the staff files reviewed confirmed some competencies, such as medication management are repeated annually. Staff that require professional qualifications have them validated as part of the employment process and on an ongoing annual basis.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calendar sighted identifies that staff undertake training and education related to the roles they undertake. Topics covered in annual training and education relates to age care and health care services. Members of the management team also attend workshops and seminars specific to management related topics. Education occurs both on and off site and include guest speakers, such as the gerontology specialist nurse from Waitemata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The ethnicity and language skills of staff match those of the residents at the facility. Resident and family/whānau members interviewed, identified that residents’ needs are met by the service. No negative comments were voiced during interviews on the days of audit. This is also supported in the resident satisfaction survey results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via the use of a ‘staffing level planning tool’ to meet residents’ needs and to comply with contractual requirements. Documentation identifies that at all times adequate numbers of suitably qualified and experienced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on a ‘master roster’ where each staff member is allocated set shifts.  Interviews with staff and the nurse manager confirmed that staff are replaced when sick or on leave.  Staff reported they have adequate time to complete all required tasks to meet residents’ needs. A quality improvement has been made since the previous audit with an increase in clinical staff hours for both morning and afternoon shift. This process is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There is a registered nurse on duty Monday to Friday and on call at all times. Caregivers confirmed they can contact the on-call RN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staff seven days a week. Laundry is undertaken by caregiving staff. The roster shows that the activities (which are planned and overseen by a diversional therapist from a sister facility) are performed by the facility manager and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to track records. This includes information gathered at the time of admission to the service, with the involvement of family. There is sufficient detail in residents’ files to identify residents` ongoing care history and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Residents’ files are protected from unauthorised access by being locked in a filing cabinet in a locked room. Staff files are secured in a key access filing cabinet and the manager`s office is locked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or allied health professional,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resident’s files demonstrated service integration, including medical care interventions. Medication records are in a separate folder with the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into service is managed by the RN who undertakes a tour of the facility and ensures the prospective resident is suitable for the services supplied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Suitable information brochures are available in Chinese languages as requested. </w:t>
            </w:r>
          </w:p>
          <w:p w:rsidR="00EB7645" w:rsidRPr="00BE00C7" w:rsidP="00BE00C7">
            <w:pPr>
              <w:pStyle w:val="OutcomeDescription"/>
              <w:spacing w:before="120" w:after="120"/>
              <w:rPr>
                <w:rFonts w:cs="Arial"/>
                <w:b w:val="0"/>
                <w:lang w:eastAsia="en-NZ"/>
              </w:rPr>
            </w:pPr>
            <w:r w:rsidRPr="00BE00C7">
              <w:rPr>
                <w:rFonts w:cs="Arial"/>
                <w:b w:val="0"/>
                <w:lang w:eastAsia="en-NZ"/>
              </w:rPr>
              <w:t>Referrals are usually through the Needs Assessment and Service Coordination (NASC) assessment team and also advertising in the Chinese newspaper. The NASC are aware of the level of care available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transfer form to document information involving the resident being transferred to the DHB. The form highlights any known risks, such as falls, includes current medications, current information related to the national health index number (NHI), date of birth (DOB), next of kin, instruction regarding specific treatments and may include a medical referral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When the resident is transferring to another facility another form is used outlining activities of daily living, reason for transfer, current medical problems, past history, medications, current treatments and observations. A verbal handover is given by the RN on duty. Communication is maintained with the family as confirmed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were dated, signed off and signatures can be verified with the specimen signature list. Photo-identification was seen on each record sighted. Allergies and sensitivity are documented on signing sheets. There is evidence that signing sheets are recorded appropriately and alert stickers are available. Signature specimen lists are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self-medicating at the time of the audit and there are no standing orders at this facility. 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reconciliation processes which include the checking of all blister packs for accuracy by the RN when delivered to the facility and all medication charts are faxed to the pharmacy and checked against the medical review updates every three months.</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showed that each medication is individually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monitoring of all the fridges and freezers occurs on a daily basis and the records reviewed showed that temperatures are within the required range. All equipment and resources are readily available, inclusive of personal protective items, such as gloves, hats and aprons. The kitchen is suitable for designated areas for food preparation, plating/tray system serving areas, clean and dirty areas as required. The kitchen was very clean on the days of audit. Daily cleaning schedules are met by the staff in all areas of the food service, as was observed. Rubbish was stored appropriately and disposal processes are in place. A waste management protocol is followed.</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performed by the RN and the information is given to the cook. Any special dietary requirements or special diets are recorded and acknowledged by the kitchen staff when preparing the individual meals. Birthday cakes are made when residents celebrate this occasion.</w:t>
            </w:r>
          </w:p>
          <w:p w:rsidR="00EB7645" w:rsidRPr="00BE00C7" w:rsidP="00BE00C7">
            <w:pPr>
              <w:pStyle w:val="OutcomeDescription"/>
              <w:spacing w:before="120" w:after="120"/>
              <w:rPr>
                <w:rFonts w:cs="Arial"/>
                <w:b w:val="0"/>
                <w:lang w:eastAsia="en-NZ"/>
              </w:rPr>
            </w:pPr>
            <w:r w:rsidRPr="00BE00C7">
              <w:rPr>
                <w:rFonts w:cs="Arial"/>
                <w:b w:val="0"/>
                <w:lang w:eastAsia="en-NZ"/>
              </w:rPr>
              <w:t>Evidence of menu reviews being undertaken by a registered dietary service contracted to provide advice and support is completed. Changes suggested by the dietitian are implemented as part of the quality programme. Staffing is consistent over seven days and evidence was seen of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 needs assessment team at the DHB usually ring and a telephone discussion verifies the suitability for admission before the family visits, if the resident is in hospital. There is documentation of all enquiries and the action taken if the admission is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good use of clinical tools, including falls risk, pressure injury risk and pain assessment. Referral letters are sighted from external agencies, including DHB clinics, and there is evidence of family involvement in the assessment process. Evidence was sighted in files reviewed that assessments are conducted within the specified timeframes. The assessment information is used as part of care plan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she oversees all care plans and residents and family are included. Residents reported on interview they were involved in the assessment process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evidence was sighted of interventions related to the desired outcomes of each resident. Risks identified on admission were included in the care plan and these included falls risk, pressure injury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 The care plan is written in a language that is user friendly and able to be understood by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interventions relating to the residents' assessed needs and desired outcomes are evaluated as required and within timeframes to ensure residents’ planned outcomes are being met. There is evidence in documentation reviewed of a resident whose falls risk assessment had changed from a low to medium risk. Changes to the care plans included regular checking of the resident and leaving the call bell accessible.</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reported they were informed of any care plan changes at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care staff who are responsible for implementing the activity programme which is overseen by a qualified diversional therapist (DT) who is contracted to the facility. The DT oversees all aspects of the programme and visits monthly to meet with staff and review paperwork. She was not available for interview during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monthly resident meetings, resident satisfaction surveys and follow up on all concerns and suggestions.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on the programme of music, tai chi and other exercise groups, majong and outings to China town.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ensure that an activity is available when regular staff are not available. Ongoing education is undertaken by the DT and a network meeting is held with the activity coordinators at the other facilities informally.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and ongoing assessments of residents are clearly documented in the residents’ files reviewed. The medical consultations are clearly documented on the medical clinical records sighted. Documentation demonstrated that the care and support plans are evaluated at least six monthly or more often if required. If a resident is not responding appropriately to the interventions being delivered, or their health status changes, this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reviews are organised by the RN and families are invited to attend or contribute to the review process. Family and residents confirmed their input into the MDT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related to exit, transfer or transition states that residents have access to appropriate external treatment and support services. All referrals are clearly documented in the progress notes and in the diary. The family are notified of the upcoming appointment and are invited to attend and assist.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residents' files reviewed information relating to the referral process was sighted. Residents are given a choice of GP when they are admitted. If the need for other services are indicated or requested, the GP or RN sends a referral to seek specialist assistance from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safe and appropriate storage and disposal of waste substances. In order to protect staff, residents and visitors from harm as a result of exposure to waste products the service implements policy.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and clearly labelled. Safety data sheets were sighted for the chemicals in use. Personal protective equipment/clothing (PPE) sighted included disposable gloves, aprons and goggles. Staff interviewed confirmed they can access PPE at any time and were observed wearing disposal gloves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8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This involves the use of external contractors as required.  Electrical safety testing occurs annually and was completed in January 2016 by a registered electrician. Clinical equipment is tested and calibrated by an approved provider at least annually and was last undertaken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the risk of harm and safe mobility by ensuring bathroom floors are non-slip, the correct use of mobility aids, and walking areas are not cluttered. Regular environmental audits sighted identify that the service actively work to maintain a safe environment for staff and residents.  Day to day maintenance is undertaken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identifies planned annual maintenance in their business plan and are undertaking a systematic upgrade of the bathroom areas. Outdoor decks and handrails have all been upgraded in 2015 and there are easily accessed shaded outdoor areas for residents. Wheelchair access is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toilet/shower facilities for residents with separate staff and visitor facilities. There are three bedrooms with full ensuite facilities and seven with toilets. All bedrooms have hand washing facilities. It was noted on the day of audit that one shared toilet area (toilet 8) had paint beginning to peel in one corner. This was already identified by the facility and had been placed on the maintenance list.  The facility manager and the owner/director stated this toilet was the next toilet area to undergo an upgrade.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They are personalised to meet resident’s wants and needs and have appropriate areas for residents to place personal belongings. There are 20 bedrooms, four of which are double rooms. The only time the rooms are shared is for a couple. Two of the double rooms had couples in them at the time of audit and the other two double rooms were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There is one dining area upstairs and one down stairs. There are two separate lounge areas both located downstairs; one with a television and one quiet lounge. Both lounges are used for activities as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voiced their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procedures in place for cleaning and laundry tasks. Chemicals are securely stored and appropriately labelled.  There is one washing machine and dryer upstairs for resident clothing and a commercial washing machine and dryer downstairs. All residents are issued with their own bed linen and towels when they enter the facility and each resident keeps the linen in their bedroom. Staff wash the items and return them to each resident. There is no shared bed linen. The recently purchased washing machine and dryer have commercial settings and staff interviewed stated they understood what each wash cycle was for.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are very happy with the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(Last undertaken in July 2015).</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The service has an approved fire evacuation plan. There have been no changes to the facility footprint. Six monthly trial evacuation drills occur and are well documented. (Last undertaken 27 November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and cooking.  There is a civil defence and disaster kit available and staff training occurred on the 16 January 2016 and 12 staff plus management attended this days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include staff ensuring the doors and windows are locked upon dusk. There are security cameras at the entrance and in the shared living areas which are monitored from the manager’s office. The gates onto the facility are electronic. (Refer comments in 2.2.1).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confirmed call bells were answered 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areas used by residents have at least one opening window which allows ventilation and natural light.  All residents’ bedrooms have full sized ranch sliders which opens out onto a decked area. The facility is ventilated by opening doors and windows. The heating is electric with central heating in the main lounge area. Residents confirmed during interview that the facility remains at a suitable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(IPCC) is the RN.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the shift handover, have short term care plans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caregivers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IPCC confirmed being responsible for facilitating infection prevention and control activities. The IPCC has attended relevant education on infection prevention and control and advises she liaises with the GP if there are any concerns about a resident with a known or suspected infection.</w:t>
            </w:r>
          </w:p>
          <w:p w:rsidR="00EB7645" w:rsidRPr="00BE00C7" w:rsidP="00BE00C7">
            <w:pPr>
              <w:pStyle w:val="OutcomeDescription"/>
              <w:spacing w:before="120" w:after="120"/>
              <w:rPr>
                <w:rFonts w:cs="Arial"/>
                <w:b w:val="0"/>
                <w:lang w:eastAsia="en-NZ"/>
              </w:rPr>
            </w:pPr>
            <w:r w:rsidRPr="00BE00C7">
              <w:rPr>
                <w:rFonts w:cs="Arial"/>
                <w:b w:val="0"/>
                <w:lang w:eastAsia="en-NZ"/>
              </w:rPr>
              <w:t>The IPCC is responsible for gaining infection control, infectious disease and microbiological advice and support, where this is not available within the organisation. In the event of an outbreak advice will be sought from the GP, DHB or laboratory services. The December 2015 outbreak was managed according to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are available for staff to refer to as and when required. Staff interviewed confirmed access to policies on infection prevention and control. Staff reported if they had any concerns they would contact the RN who is on call when not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Education is provided by an external infection control consultant as part of the annual education programme. As an example a newsletter received was on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advice on infection prevention and control activities via residents’ meetings. The residents’ meeting minutes included discussion on the importance of hand hygiene.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on interview they regularly receive education on infection prevention as part of the annual programme and also at handover if a situation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is carried out in accordance with agreed objectives and priorities that is specified in the infection control programme. The surveillance programme reviewed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IPCC is the RN with experience and knowledge in infection prevention and control. The IPCC explained the surveillance system, the role of IPCC, responsibilities and the reporting systems in place. Information gained is reported as part of the quality management system requirements and quality improvement objectives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Relevant types of infections, such as urinary tract infections, lower respiratory infections, influenza, chest, skin, wound infections and other infections are part of the surveillance programme. Surveillance forms have been developed and implemented for this purpose. Infection reports are completed and reviewed individually by the IPCC. Any immediate trends, advice or information fact sheets are provided back to the service concerned. Additional advice and support on infection control matters can be sought from the DHB or a private infection control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There was an outbreak in December 2015 which was managed and reported to the DHB.</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are kept well informed and understood their responsibilities for reporting any signs and symptoms of a resident having an infection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what an enabler is and that it will be voluntary and the least restrictive option to promote or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enablers in use at the time of audit.  Staff are aware of the difference between an enabler and a restraint. This is included in the restraint education undertaken by staff which was last presented in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Abbey Heights Rest Home has environmental restraint. This relates to the electronic gate at the end of the drive to deter the general public from using the off road parking and for security reasons. The code number for the gate is clearly on display so the gate can be opened at any time. Residents and family/whānau were seen to use the gate whenever they wished on the days on audit. The facility manager and the owner/director confirmed the use of the gate is included in admission discussions. </w:t>
            </w:r>
          </w:p>
          <w:p w:rsidR="00EB7645" w:rsidRPr="00BE00C7" w:rsidP="00BE00C7">
            <w:pPr>
              <w:pStyle w:val="OutcomeDescription"/>
              <w:spacing w:before="120" w:after="120"/>
              <w:rPr>
                <w:rFonts w:cs="Arial"/>
                <w:b w:val="0"/>
                <w:lang w:eastAsia="en-NZ"/>
              </w:rPr>
            </w:pPr>
            <w:r w:rsidRPr="00BE00C7">
              <w:rPr>
                <w:rFonts w:cs="Arial"/>
                <w:b w:val="0"/>
                <w:lang w:eastAsia="en-NZ"/>
              </w:rPr>
              <w:t>As identified in policy no assessment or monitoring is required for the environmental restraint. The code for the gate and how to use it is part of the resident admission process and is shared with residents and family/whānau members. This was confirmed during interview.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Age Health Care Limited - Abbey Heights Rest Home</w:t>
    </w:r>
    <w:bookmarkEnd w:id="58"/>
    <w:r>
      <w:rPr>
        <w:rFonts w:cs="Arial"/>
        <w:sz w:val="16"/>
        <w:szCs w:val="20"/>
      </w:rPr>
      <w:tab/>
      <w:t xml:space="preserve">Date of Audit: </w:t>
    </w:r>
    <w:bookmarkStart w:id="59" w:name="AuditStartDate1"/>
    <w:r>
      <w:rPr>
        <w:rFonts w:cs="Arial"/>
        <w:sz w:val="16"/>
        <w:szCs w:val="20"/>
      </w:rPr>
      <w:t>23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