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Glynavon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Glynavon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January 2016</w:t>
      </w:r>
      <w:bookmarkEnd w:id="7"/>
      <w:r w:rsidRPr="009418D4">
        <w:rPr>
          <w:rFonts w:cs="Arial"/>
        </w:rPr>
        <w:tab/>
        <w:t xml:space="preserve">End date: </w:t>
      </w:r>
      <w:bookmarkStart w:id="8" w:name="AuditEndDate"/>
      <w:r w:rsidR="00A4268A">
        <w:rPr>
          <w:rFonts w:cs="Arial"/>
        </w:rPr>
        <w:t>14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Glynavon is owned and operated by the CHT Healthcare Trust.  The service provides cares for up to 33 residents requiring hospital and rest home level care.  On the day of the audit, there were 28 residents.  The service is overseen by a unit manager, who is a registered nurse and well qualified and experienced for the role and is supported by the area manager.  Residents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 xml:space="preserve">This audit has not identified any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Glynavon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unit manager takes primary responsibility for managing entry to the service with assistance from the registered nurses.  Comprehensive service information is available.  A registered nurse completes initial assessments, including InterRAI assessments.  The registered nurses complete care plans and evaluations within the required timeframes.  Care plans are based on the InterRAI outcomes and other assessments.  They are clearly written and healthcare assistants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 monthly or more frequently if needed.  Meals are prepared on site by a contracted agency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except two bedrooms are single occupancy and some have shared ensuites.  There is sufficient space to allow the movement of residents around the facility using mobility aids.  There are several lounge and dining areas throughout the facility.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Glynavon has restraint minimisation and safe practice policies and procedures in place.  Staff receive training in restraint minimisation and challenging behaviour management.  On the day of audit, there were four residents with restraint and two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9"/>
        <w:gridCol w:w="1280"/>
        <w:gridCol w:w="93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(three healthcare assistants, two registered nurses (RN), two activities coordinators, one area manager and one unit manager) confirm their familiarity with the Code.  Interviews with seven residents (five rest home and two hospital) and four families (three rest home and one hospital) confirm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Six resident files sampled (three hospital and three rest home) demonstrated that advanced directives are signed for separately.  There is evidence of discussion with family when the GP has completed a clinically indicated not for resuscitation order.  Health care assistants and registered nurses interviewed confirmed verbal consent is obtained when delivering care.  Family members are involved in decisions that affect their relative’s lives.  All six resident files sampled had a signed admission agreement, signed either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A complaints form is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There were four complaints in 2015 and all complaint documentation was reviewed.  All four complaints had noted investigation, timeframes, corrective actions when required and resolutions were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unit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Church services are conducted three times a month and the chaplain visits most days.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Seven residents identified as Māori on the day of the audit and cultural needs were addressed in care plans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as demonstrated in resident files sampled.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Information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Eight incidents/accidents forms were reviewed.  The forms included a section to record family notification.  All eight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Glynavon is owned and operated by the CHT Healthcare Trust.  CHT purchased the service in March 2015.  The service provides rest home and hospital level care for up to 33 residents.  On the day of the audit, there were 14 rest home level and 14 hospital level residents.  This included one resident on a younger-person with disability contract.  All except five rooms are dual purpose.  The unit manager is a registered nurse and maintains an annual practicing certificate.  She has been in a management role at the facility for 21 years and continued as unit manager when CHT purchased the service.  The unit manager reports to the area manager weekly on a variety of operational issues.  CHT has an overall business/strategic plan and Glynavon has a facility quality and risk management programme in place for the current year.  The organisation has a philosophy of care, which includes a mission statement.  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senior registered nurse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Glynavon.  Interviews with staff confirmed that quality data is discussed at monthly staff meetings to which all staff are invited.  The unit manager advised that she is responsible for providing oversight of the quality programme.  The quality and risk management programme is designed to monitor contractual and standards compliance.  The service's policies are reviewed at an organisational level, with input from facility staff every two years.  New/updated policies are sent from head office, with a draft policy including InterRAI assessment requirements.  Staff have access to manuals.  Resident/relative meetings are held quarterly with more meetings having occurred at the time of the change of ownership and the area manager attending all but one of these meetings.  Restraint and enabler use is reported within the quality and clinical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Residents are surveyed to gather feedback on the service provided and the outcomes are communicated to residents, staff and families.  The 2015 survey indicated a high level of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There is a discussion of incidents/accidents at monthly quality meetings including actions to minimise recurrence.  A registered nurse conducts clinical follow up of residents.  Eight incident forms sampled (from a sample of resident files) demonstrated that appropriate clinical follow up and investigation occurred following incidents.  Discussions with the unit manager confirmed that there is an awareness of the requirement to notify relevant authorities in relation to essential notifications.  Appropriate notification was made around a norovirus outbreak in June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These include that the recruitment and staff selection process requires that relevant checks are completed to validate the individual’s qualifications, experience and veracity.  A copy of practising certificates is kept.  Five staff files were reviewed (two registered nurses, an activities coordinator and two healthcare assistants) and evidence that reference checks were completed before employment is offered.  The service has a comprehensive orientation programme in place that provides new staff with relevant information for safe work practice.  The in-service education programme for 2015 has been completed and a plan for 2016 is being implemented.  The unit manager and registered nurses are able to attend external training, including sessions provided by the local DHB.  Three of the five registered nurses have completed InterRAI training.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In addition to the unit manager (a registered nurse), who works full time, there is one registered nurse on at any one time.  The registered nurse on each shift is aware that extra staff can be called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unit manager screens all potential residents prior to entry and records all admission enquires in a hard copy system.  Residents and relatives interviewed confirmed they received information prior to admission and had the opportunity to discuss the admission agreement with the manager and clinical coordinator.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the medication room/cupboard.  Medication administration practice complies with the medication management policy for the medication round sighted.  Medication prescribed is signed as administered on the pharmacy generated signing chart.  Registered nurses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write medication charts correctly and there was evidence of three monthly reviews by the GP.  One resident self-administers their own medicines and the documentation was correctly recorded and a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by contracted kitchen staff.  A food services manual is in place to guide staff.  A resident nutritional profile is developed for each resident on admission and is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in December 2014 by an external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implemented.  InterRAI assessments have been completed for all residents.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eight wounds, which includes one resident with a stage two (facility) pressure area (link hospital tracer 1.3.3).  All wounds have been reviewed in appropriate timeframes.  The RNs have access to specialist nursing wound care management advice through the district nursing service (link 1.3.3).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Care plan interventions demonstrate interventions to meet residents’ needs.  There was evidence of pressure injury prevention interventions such as two hourly turning charts, food and fluid charts, regular monitoring of bowels and regular (monthly or more frequently if required) weight management.  The service has commenced a project around weight management for residents with initial results showing improved outcomes for residents with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activities coordinators are employed to operate the activities programme for all residents.  The programme operates seven days a week.  Each resident has an individual activities assessment on admission, which is incorporated into the InterRAI assessment process.  An individual activities plan is developed for each resident by the activities coordinators in consultation with the registered nurses.  Each resident is free to choose if they wish to participate in the group activities programme or their individual plan.  Participation is monitored.  Group activities reflect ordinary patterns of life and include at least weekly planned visits to the community.  All long-term resident files sampled have a recent activities plan within the care plan and this is appraised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 monthly or earlier if there is a change in health status.  There was at least a three monthly review by the GP.  All changes in health status were documented and followed up.  Reassessments have been completed using InterRAI LTCF for all residents who have had a significant change in health status since 1 July 2015.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shared ensuites and other residents share communal toilets and showers.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large lounge and dining area and several smaller lounges and a smaller dining area.  These are large enough to cater for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Contracted cleaning staff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Contracted laundry staff complete all laundry on site in an appropriately appointed laundry.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Glynavon has an established infection control programme.  The infection control programme, its content and detail, is appropriate for the size, complexity and degree of risk associated with the service.  It is linked into the incident reporting system.  The unit manager (a registered nurse) is the designated infection control coordinator with support from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at Glynavon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Tauranga Infection Control Forum, and provided with education and updates through this forum.  Visitors are advised of any outbreaks of infection and are advised not to attend until the outbreak has been resolved.  Information provided to residents and visitors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An outbreak of norovirus in June 2015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four residents with restraint and two residents with an enabler.  All restraints and enablers are bedrails.  Two enabler files sampled document that enabler use is voluntary.  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two restraint and two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There is an assessment form/process that is completed for all restraints and enablers.  The files reviewed had a completed assessment form and a care plan that reflected risk.  Monitoring forms that included regular monitoring at the frequency determined by the risk level were present in the files reviewed.  In resident files reviewed, appropriate documentation has been completed.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The restraint coordinator completes reviews.  Any adverse outcomes are reported at the monthly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Glynavon</w:t>
    </w:r>
    <w:bookmarkEnd w:id="58"/>
    <w:r>
      <w:rPr>
        <w:rFonts w:cs="Arial"/>
        <w:sz w:val="16"/>
        <w:szCs w:val="20"/>
      </w:rPr>
      <w:tab/>
      <w:t xml:space="preserve">Date of Audit: </w:t>
    </w:r>
    <w:bookmarkStart w:id="59" w:name="AuditStartDate1"/>
    <w:r>
      <w:rPr>
        <w:rFonts w:cs="Arial"/>
        <w:sz w:val="16"/>
        <w:szCs w:val="20"/>
      </w:rPr>
      <w:t>13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