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Charles Fleming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Charles Fleming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Charles Fleming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November 2015</w:t>
      </w:r>
      <w:bookmarkEnd w:id="7"/>
      <w:r w:rsidRPr="009418D4">
        <w:rPr>
          <w:rFonts w:cs="Arial"/>
        </w:rPr>
        <w:tab/>
        <w:t xml:space="preserve">End date: </w:t>
      </w:r>
      <w:bookmarkStart w:id="8" w:name="AuditEndDate"/>
      <w:r w:rsidR="00A4268A">
        <w:rPr>
          <w:rFonts w:cs="Arial"/>
        </w:rPr>
        <w:t>17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Charles Fleming Retirement Village is a Ryman Healthcare facility.  The facility provides rest home, hospital level and dementia level of care for up to 120 residents in the care centre and up to 20 rest home residents in the serviced apartments.  On the day of audit, there were 107 residents (including seven in serviced apartments).  The village manager is suitably qualified and supported by a clinical manager (registered nurse) and an assistant village manager.  There are systems in place that are structured to provide appropriate care for residents.  Implementation is being supported through the Ryman Accreditation Programme.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family, residents, staff and management.  </w:t>
      </w:r>
    </w:p>
    <w:p w:rsidRPr="00A4268A">
      <w:pPr>
        <w:spacing w:before="240" w:line="276" w:lineRule="auto"/>
        <w:rPr>
          <w:rFonts w:eastAsia="Calibri"/>
        </w:rPr>
      </w:pPr>
      <w:r w:rsidRPr="00A4268A">
        <w:rPr>
          <w:rFonts w:eastAsia="Calibri"/>
        </w:rPr>
        <w:t xml:space="preserve">The five shortfalls from their previous certification around incident/accident reporting, staffing, consumer records, documented interventions, medication checks on delivery and transcribing have been addressed.   </w:t>
      </w:r>
    </w:p>
    <w:p w:rsidRPr="00A4268A">
      <w:pPr>
        <w:spacing w:before="240" w:line="276" w:lineRule="auto"/>
        <w:rPr>
          <w:rFonts w:eastAsia="Calibri"/>
        </w:rPr>
      </w:pPr>
      <w:r w:rsidRPr="00A4268A">
        <w:rPr>
          <w:rFonts w:eastAsia="Calibri"/>
        </w:rPr>
        <w:t xml:space="preserve">This audit identifies improvements are required around InterRAI assessments for new admissions and indications for use of ‘as required’ medications.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documented.  The complaints process is provided to residents and families as part of the admission process.  A complaints register is in place that includes all complaints, dates and actions taken.  Complaints are being managed in an appropriate manner and meet the requirements set forth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Ryman Charles Fleming continues to implement the Ryman Accreditation Programme that provides the framework for quality and risk management and the provision of clinical care.  The service has policies and procedures to provide a good level of assurance that it is meeting accepted good practice and adhering to relevant standards.  Key components of the quality and risk management system include monitoring all adverse events.  Data that is collected is analysed and evaluated.  </w:t>
      </w:r>
    </w:p>
    <w:p w:rsidRPr="00A4268A">
      <w:pPr>
        <w:spacing w:before="240" w:line="276" w:lineRule="auto"/>
        <w:rPr>
          <w:rFonts w:eastAsia="Calibri"/>
        </w:rPr>
      </w:pPr>
      <w:r w:rsidRPr="00A4268A">
        <w:rPr>
          <w:rFonts w:eastAsia="Calibri"/>
        </w:rPr>
        <w:t xml:space="preserve">The orientation programme provides new staff with relevant information for safe work practice and is developed specifically to worker type.  There is an annual education schedule that is being implemented.  In addition, opportunistic education is provided.  Aged Care Education is in place for the caregivers.  The facility is adequately staffed.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 on admission.  Care plans and evaluations reviewed were completed by the registered nurses within the required timeframes.  Care plans demonstrated service integration, were individualised and evaluated six monthly.  The residents and family interviewed confirmed they were involved in the care planning process.  Residents are reviewed at least three monthly review by the general practitioner.   </w:t>
      </w:r>
    </w:p>
    <w:p w:rsidRPr="00A4268A" w:rsidP="00621629">
      <w:pPr>
        <w:spacing w:before="240" w:line="276" w:lineRule="auto"/>
        <w:rPr>
          <w:rFonts w:eastAsia="Calibri"/>
        </w:rPr>
      </w:pPr>
      <w:r w:rsidRPr="00A4268A">
        <w:rPr>
          <w:rFonts w:eastAsia="Calibri"/>
        </w:rPr>
        <w:t xml:space="preserve">The activity coordinators and diversional therapists provide separate activities programme for rest home, hospital and dementia care residents.  The Engage programme ensures the individual abilities and recreational needs of the resident are met.  The programme is varied, interesting and involves the families and community.  </w:t>
      </w:r>
    </w:p>
    <w:p w:rsidRPr="00A4268A" w:rsidP="00621629">
      <w:pPr>
        <w:spacing w:before="240" w:line="276" w:lineRule="auto"/>
        <w:rPr>
          <w:rFonts w:eastAsia="Calibri"/>
        </w:rPr>
      </w:pPr>
      <w:r w:rsidRPr="00A4268A">
        <w:rPr>
          <w:rFonts w:eastAsia="Calibri"/>
        </w:rPr>
        <w:t xml:space="preserve">There were policies and processes that describe medication management that align with accepted guidelines.  Staff responsible for medication administration have completed annual competencies and education.  The GP reviews medication charts at least three monthly.  </w:t>
      </w:r>
    </w:p>
    <w:p w:rsidRPr="00A4268A" w:rsidP="00621629">
      <w:pPr>
        <w:spacing w:before="240" w:line="276" w:lineRule="auto"/>
        <w:rPr>
          <w:rFonts w:eastAsia="Calibri"/>
        </w:rPr>
      </w:pPr>
      <w:r w:rsidRPr="00A4268A">
        <w:rPr>
          <w:rFonts w:eastAsia="Calibri"/>
        </w:rPr>
        <w:t xml:space="preserve">Meals are prepared on site.  The menu has been designed by a dietitian at organisational level.  Individual and special dietary needs were catered for.  Alternative are provided.  There are additional snacks available 24 hours in the dementia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certificate for public use.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were comprehensive policies and procedures that meet the restraint standards.  There is a restraint coordinator with delegated responsibilities.  Enabler and/or restraint use is discussed at quality and clinical meetings.  There was ongoing restraint and challenging behaviour education evident.  There were no residents requiring enablers and seven residents with restraint usage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A registered nurse is the infection prevention and control officer.  A monthly infection control report is completed and forwarded to head office for analysis and benchmarking.  A six monthly comparative summary is completed.  Surveillance data is used to determine infection control activities and education needs at the facility.  The service has had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5"/>
        <w:gridCol w:w="1280"/>
        <w:gridCol w:w="104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The village manager has the overall responsibility for ensuring all complaints (verbal or written) are fully documented and thoroughly investigated.  The number of complaints received each month is reported to staff via the various meetings.  A complaints register has been maintained that includes relevant information regarding the complaint.  Discussion with six residents (three rest home and three hospital) and one relative confirmed they were provided with information on the complaints process.  Complaints information is provided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complaints were received in 2015 (year to date) with evidence of appropriate and timely follow-up actions taken.  Documentation including follow-up letters and resolution demonstrates that complaints were well-managed.  All of the complaints received in 2015 are resolved, including two complaints lodged in 2015 through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and reporting forms that guide staff around their responsibility to notify family of any resident accident/incident that occurs.  Incident forms reviewed identified that family were notified following a resident incident.  One relative interviewed (of dementia care resident) stated that they are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policy and contact details of interpreters is available.  Non-Subsidised residents are advised in writing of their eligibility and the process to become a subsidised resident should they wish to do so.  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Charles Fleming Retirement Village is a Ryman Healthcare facility.  The service currently provides care for up to 140 residents at hospital, rest home, and dementia level care.  On the day of audit there were 38 (of 40) rest home residents on level one (ground level), 36 (of 40) hospital level residents on level two, and 26 (of 40) dementia level residents across the two 20 bed special care units on level three.  There are 20 serviced apartments certified for rest home level of care.  There were seven rest home level of care residents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 wide objectives are translated at each Ryman service.  Ryman Healthcare also has operations team objectives that include a number of interventions/actions.  Each service also has their own specific Ryman accreditation programme (RAP) objectives 2015 and progress towards objectives is updated as part of the RAP schedule.  The organisation completes annual planning and has a suite of policies/procedures to provide rest home care, hospital care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Charles Fleming is non clinical and has been in the role for eight months.  She is supported by a clinical manager who has been in the role for two years.  The village manager has completed a comprehensive orientation to the role and has attended a two day managers training day.  The management team is supported by the Ryman management team including a regional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maintained.  The service has policies and procedures to provide a good level of assurance that it is meeting accepted good practice and adhering to relevant standards, including those standards relating to the Health and Disability Services (Safety) Act 2001.  Any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include (but are not limited to) monitoring falls, medication errors, restraint use, pressure areas, infections, wounds and resident satisfaction.  Weekly reports by the village manager to the regional manager provide a coordinated process between service level and the organisation.  Regular meetings are held throughout the service.  There are monthly accident/incident reports that break down the data collected across the rest home, hospital, dementia unit and staff incidents/accidents.  Falls prevention strategies are in place that includes the analyses of falls incidents and the identification of interventions on a case-by-case basis to minimise future falls.  The internal audit programme monitors key components of the service.  If a target is not met or an area of non-compliance is identified a quality improvement plan (QIP) is developed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health and safety and risk management programme in place.  There are policies to guide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incident reports are documented electronically for each incident/accident.  Significant events were documented in the residents’ progress notes for two residents (one with falls and one pressure injury).  Both incidents were traced and evidenced completed accident/incident forms.  The previous finding has been addressed around reporting requirements.  All accident/incident forms reviewed documents corrective actions taken and any follow up action required.  The data is linked to the organisation's quality and risk management programme and is used for comparative purposes.  Twenty Incident forms were reviewed (including six from the special care unit), all reviewed reflected timely clinical assessment and follow up by a registered nurse. There were no specific trends noted specifically in the dementia unit across the last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 their awareness of the requirement to notify relevant authorities in relation to essential notifications.  Relevant authorities had been notified for an outbreak in August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documented job descriptions for all positions which detail each position’s responsibilities, accountabilities and authorities.  Relevant documentation was seen in eight staff files reviewed.  A register of practising certificates is maintained.  Training requirements are directed by Ryman head office and reviewed as part of the RAP reporting.  There is an enrolled nurse who oversees staff induction and the ACE programme and a clinical manager who facilitates the in-service calendar.  Ryman ensures registered nurses are supported to maintain their professional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13 caregivers employed in the dementia unit.  Five have completed dementia standards.  Eight caregivers are working towards the completion of these unit standards.  Two of the eight staff have commenced employment in the dementia unit in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provide a comprehensive induction programme at Foundations Level 2 compliance and qualification to all care staff.  Completion of induction programme and required ACE dementia standards are required to be monitored and reported monthly to head office as part of the RAP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Ryman policy which supports the requirements of skill mix, staffing ratios and rostering.  There is a registered nurse and first aid trained member of staff on every shift.  Caregiver’s interviewed stated that management are supportive and approachable.  Staff interviewed across the three areas advised that there are sufficient staff on duty at all times.  Interviews with residents and relatives confirm that there are sufficient staff on duty.  The village manager advised they are currently recruiting more casual staff to assist when staff are sick.  There were no identified gaps in the staff roster.  The service uses a preferred agency when required.  The roster sighted did not evidence staff working double shifts.  The service has addressed a previous finding relating to staffing levels. A review of staff rosters did not identify any areas where staff were not replaced.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at least two registered nurses on duty in the hospital am and pm shifts and one at night.  In the dementia unit, there is a RN at least daily across seven days.  In the rest home there is a rostered RN at least daily across seven days.  The caregivers cover a mix of full and half shifts.  There are designated cleaners, laundry staff, activities staff, gardeners, and administration staff.  The clinical manager works 40 hours per week and oversees the clinical care of all residents.  The village manager also works 40 hours per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 files were reviewed.  All entries in the progress notes were timed on entry, dated and identified the designation of the writer. The previous shortfall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and healthcare assistants responsible for the administering of medication complete annual medication competencies and attend annual medication education.  Registered nurses check medications on delivery against the medication chart and sign the back of the blister pack.  The previous finding around checking of medication on delivery has been addressed.  There were no self-medicating residents on the day of audit.  Standing orders are not in use.  Medication administration practice was observed to be compliant.  There was no evidence of transcribing on the non-packaged signing sheets.  The previous finding around transcribing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sampled (six hospital, four rest home and four dementia care) had photo identification and allergy status identified.  Not all medication charts had an indication for use of required medications.  Medication charts reviewed identified three monthly medication reviews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cooks assistant and kitchen assistant daily to prepare and provide all meals on-site.  There is a four weekly seasonal menu that has been designed and reviewed by a dietitian at organisational level.  The newly introduced summer menu provides two options for the evening meals.  The cook receives a resident dietary profile for all new admissions and is notified of dietary changes.  Soft/pureed, diabetic desserts, gluten free, vegetarian and alternative foods for known dislikes are provided.  Food is delivered in hot boxes to each kitchenette and served from bain maries by healthcare assistants.  Staff were observed sitting with the residents and assisting them with meals.  Staff interviewed state there are nutritious snacks available 24 hours in the dementia care units.  Adequate snacks were sighted in the kitchenette fridge and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well equipped with separate dishwashing area, baking, cooking and storage areas.  The chiller temperature is checked twice daily.  Fridge and freezer temperatures are checked and recorded at least daily in the main kitchen and kitchenettes.  End cooked food temperatures are monitored on the midday and evening meals.  All foods were date labelled.  A cleaning schedule is maintained.  Staff were observed wearing appropriate protective clothing.  Chemicals used in the cupboard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trained in safe food handling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and they were informed of any changes to health and interventions required.  When a resident's condition alters, the registered nurse initiates a review and if required a GP visit or nurse specialist consultation.  The relative contact sheet evidences relative notification for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adequately stocked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clinical manager and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Weight loss management plans were in place for two rest home residents with weight loss.  The cook had received updated dietary profiles that included dietary supplements, smoothies, high protein and high calorie diets.  The previous finding around weight loss management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charts were evidenced to be in use for altered behaviours.  Long term care plans documented pain management for residents who identified pain.  The previous shortfall around behaviour charts and documentation of pain management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activity officers (includes two diversional therapists) implement separate activity programmes for the serviced apartments, rest home, and hospital and dementia care units.  They are supported by a Ryman occupational therapist that meets regularly with the team and oversees the engage activity programmes.  The Engage programme is delivered Monday to Sunday in the hospital and dementia care units and Monday to Friday in the rest home.  Resources are available for care staff to use at any time for activities in the weekends.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choices of activities for rest home (including rest home residents in serviced apartments) and hospital residents to attend.  The activity officers ensure all residents are aware of the activities available and assist them in attending activities of their choice.  Regular contact is made and one on one time spent with residents who are unable to participate in group activities or choose not to be involved in the activity programme.  Each unit (including dementia care) ensures residents are taken for supervised walks/wheelchair walks in the grounds and gardens (weather permitted) or around the facility.  Residents were observed to be engaged in the activities provided throughout the facility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officers are trained to deliver the Triple an exercise programme which is applicable to the cognitive and physical abilities of the resident group.  The separate programmes include a variety of crafts, quizzes, clubs and groups, library trolley, entertainers, musical moments, news and views, reminiscing and meaningful activities such as gardening and baking.  Community links are maintained with entertainers, speakers, visiting pets, card groups, stroke club visitors, and church services.  Volunteers are involved in the activity programme.  The service has a van for outings and there are outings/drives at least weekly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resident/family/whanau as appropriate complete a resident profile.  An activity plan is developed and the resident is encouraged to join in activities that are appropriate and meaningful.  The activity plans were reviewed at the same time as the clinical care plans in resident files sampled.  Resident meetings are held in the rest home and hospital units and family meetings in the dementia care unit that provide an opportunity for feedback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and care plan review policy require that care plans are reviewed at least six monthly.  Resident files had written evaluations that described progress against each goal and need identified in the care plan (sighted on the electronic system and in resident files).  Family are invited to attend the multidisciplinary team (MDR) review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is currently operating under a certificate for public use (CPU) expiry 18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described the purpose and methodology for the surveillance of infections.  Definitions of infections are in place and appropriate to the complexity of the service provided.  Individual infection reports are recorded electronically.  Monthly data is reported to the combined infection prevention and control, and the health and safety meetings.  Staff are informed through facility meetings held at the facility.  The infection prevention and control programme is linked with the RAP.  The infection prevention and control officer uses the information obtained through surveillance to determine infection prevention and control activities, resources, and education needs within the facility.  There is close liaison with the GP's that advise and provide feedback to the service.  Systems in place are appropriate to the size and complexity of the facility.  There has been one outbreak since the previous audit.  Documentation sighted demonstrated the outbreak had been managed well and contained in the one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policy identifies that restraint is used as a last resort.  There were seven residents with restraint usage and no residents with enablers on the day of audit.  The restraint coordinator is the clinical manager.  The use of enablers/restraint is discussed at clinical meetings and RAP meetings.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3"/>
        <w:gridCol w:w="1280"/>
        <w:gridCol w:w="3927"/>
        <w:gridCol w:w="348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of regular medications met legislative requirements.  Rest home and hospital level resident medication charts met prescribing requirements for as required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medication charts reviewed in the dementia unit residents did not have a prescribed ‘indication for use’ for ‘as required’ medications (clonazepam, quietapine and intramuscular haloperidol).  This was corrected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as required medications have a prescribed indication for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had initial assessments, long term care plans and evaluations completed by the RN within the required timeframes.  There have been 14 new admissions to the service since 1 July 2015.  Five residents have had InterRAI assessments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residents (two dementia care, one hospital level and six rest home level residents) who have been admitted to the service since 1 July have not has interRAI assessments completed within 21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InterRAI assessments are completed for all residents within three weeks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Charles Fleming Retirement Village Limited</w:t>
    </w:r>
    <w:bookmarkEnd w:id="58"/>
    <w:r>
      <w:rPr>
        <w:rFonts w:cs="Arial"/>
        <w:sz w:val="16"/>
        <w:szCs w:val="20"/>
      </w:rPr>
      <w:tab/>
      <w:t xml:space="preserve">Date of Audit: </w:t>
    </w:r>
    <w:bookmarkStart w:id="59" w:name="AuditStartDate1"/>
    <w:r>
      <w:rPr>
        <w:rFonts w:cs="Arial"/>
        <w:sz w:val="16"/>
        <w:szCs w:val="20"/>
      </w:rPr>
      <w:t>16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