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Udian Holdings Limited - Glencoe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Udian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Glencoe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2015</w:t>
      </w:r>
      <w:bookmarkEnd w:id="7"/>
      <w:r w:rsidRPr="009418D4">
        <w:rPr>
          <w:rFonts w:cs="Arial"/>
        </w:rPr>
        <w:tab/>
        <w:t xml:space="preserve">End date: </w:t>
      </w:r>
      <w:bookmarkStart w:id="8" w:name="AuditEndDate"/>
      <w:r w:rsidR="00A4268A">
        <w:rPr>
          <w:rFonts w:cs="Arial"/>
        </w:rPr>
        <w:t>2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Glencoe Rest Home provides rest home level care for up to 15 residents.  There are 12 residents receiving care on the day of audit including one short stay resident.</w:t>
      </w:r>
    </w:p>
    <w:p w:rsidRPr="00A4268A">
      <w:pPr>
        <w:spacing w:before="240" w:line="276" w:lineRule="auto"/>
        <w:rPr>
          <w:rFonts w:eastAsia="Calibri"/>
        </w:rPr>
      </w:pPr>
      <w:r w:rsidRPr="00A4268A">
        <w:rPr>
          <w:rFonts w:eastAsia="Calibri"/>
        </w:rPr>
        <w:t>There have been no significant changes to the land and facility since the last audit, with the exception of some electrical work in the corridors and general maintenance. The owner has another rest home in Auckland.</w:t>
      </w:r>
    </w:p>
    <w:p w:rsidRPr="00A4268A">
      <w:pPr>
        <w:spacing w:before="240" w:line="276" w:lineRule="auto"/>
        <w:rPr>
          <w:rFonts w:eastAsia="Calibri"/>
        </w:rPr>
      </w:pPr>
      <w:r w:rsidRPr="00A4268A">
        <w:rPr>
          <w:rFonts w:eastAsia="Calibri"/>
        </w:rPr>
        <w:t>This certification audit was conducted against the Health and Disability Services Standards. The audit process included the review of policies and procedures, review of clients’ files and staff files, observations, and interviews with clients, family members, staff (including the general practitioner) and management.</w:t>
      </w:r>
    </w:p>
    <w:p w:rsidRPr="00A4268A">
      <w:pPr>
        <w:spacing w:before="240" w:line="276" w:lineRule="auto"/>
        <w:rPr>
          <w:rFonts w:eastAsia="Calibri"/>
        </w:rPr>
      </w:pPr>
      <w:r w:rsidRPr="00A4268A">
        <w:rPr>
          <w:rFonts w:eastAsia="Calibri"/>
        </w:rPr>
        <w:t>There is a coordinated quality and risk programme that is implemented. Feedback from clients and family members is very positive about all aspects of the care and services provided.</w:t>
      </w:r>
    </w:p>
    <w:p w:rsidRPr="00A4268A">
      <w:pPr>
        <w:spacing w:before="240" w:line="276" w:lineRule="auto"/>
        <w:rPr>
          <w:rFonts w:eastAsia="Calibri"/>
        </w:rPr>
      </w:pPr>
      <w:r w:rsidRPr="00A4268A">
        <w:rPr>
          <w:rFonts w:eastAsia="Calibri"/>
        </w:rPr>
        <w:t>The audit identified seven areas for improvement required to meet these standards. These include: consent; maintaining the complaints register; ensuring the owner participates in ongoing education; and recording staff orientation. Ensuring staff handling food have completed food safety training; that all staff members’ have current medication competencies; and ensuring falls incidents are linked with evaluations are also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high satisfaction with the caring manner and respect that staff show towards each resident.</w:t>
      </w:r>
    </w:p>
    <w:p w:rsidRPr="00A4268A">
      <w:pPr>
        <w:spacing w:before="240" w:line="276" w:lineRule="auto"/>
        <w:rPr>
          <w:rFonts w:eastAsia="Calibri"/>
        </w:rPr>
      </w:pPr>
      <w:r w:rsidRPr="00A4268A">
        <w:rPr>
          <w:rFonts w:eastAsia="Calibri"/>
        </w:rPr>
        <w:t>There are two residents who identify as Maori residing at the service at the time of audit.  There are no known barriers to Maori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Written consents are obtained from the residents’ family/whanau, enduring power of attorney (EPOA) or appointed guardians.  Signed and/or verbal consent however was not sighted to acknowledge that residents and family members are aware of security cameras operating in external and internal communal areas of the facility.  Documentation of informed consent was also not evident to show that a resident was unable to access an external gate without staff assistance.</w:t>
      </w:r>
    </w:p>
    <w:p w:rsidRPr="00A4268A">
      <w:pPr>
        <w:spacing w:before="240" w:line="276" w:lineRule="auto"/>
        <w:rPr>
          <w:rFonts w:eastAsia="Calibri"/>
        </w:rPr>
      </w:pPr>
      <w:r w:rsidRPr="00A4268A">
        <w:rPr>
          <w:rFonts w:eastAsia="Calibri"/>
        </w:rPr>
        <w:t xml:space="preserve">Residents are encouraged and supported to maintain community and family links. </w:t>
      </w:r>
    </w:p>
    <w:p w:rsidRPr="00A4268A">
      <w:pPr>
        <w:spacing w:before="240" w:line="276" w:lineRule="auto"/>
        <w:rPr>
          <w:rFonts w:eastAsia="Calibri"/>
        </w:rPr>
      </w:pPr>
      <w:r w:rsidRPr="00A4268A">
        <w:rPr>
          <w:rFonts w:eastAsia="Calibri"/>
        </w:rPr>
        <w:t>Staff, residents and family members are aware of the complaints process. There is a high level of satisfaction expressed in relation to services provided. A recent complaint has not been added to the complaints register and actions taken in response to the complaint have not yet been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owner purchased Glencoe Rest home in February 2015 and is on site at least 20 hours a week and is responsible for ensuring the day to day needs of residents are met. Records are not available to demonstrate that the manager has attended eight hours of education in the last year related to managing a residential care facility (as required to meet the provider’s contract with Counties Manukau District Health Board). The owner is supported by a registered nurse and a manager. The mission, philosophy and goals of the rest home are documented and monitored.  </w:t>
      </w:r>
    </w:p>
    <w:p w:rsidRPr="00A4268A">
      <w:pPr>
        <w:spacing w:before="240" w:line="276" w:lineRule="auto"/>
        <w:rPr>
          <w:rFonts w:eastAsia="Calibri"/>
        </w:rPr>
      </w:pPr>
      <w:r w:rsidRPr="00A4268A">
        <w:rPr>
          <w:rFonts w:eastAsia="Calibri"/>
        </w:rPr>
        <w:t xml:space="preserve">The quality and risk programme provides the framework for the service and includes complaints and compliments, incident and accident reporting, surveillance for residents with infections, audits, satisfaction surveys, policy/procedure review and risk and hazard identification and management. The results of quality and risk activities are discussed with staff regularly at monthly staff meetings, or sooner during shift handover where applicable. Corrective action plans are developed where required, implemented and monitored for effectiveness.  </w:t>
      </w:r>
    </w:p>
    <w:p w:rsidRPr="00A4268A">
      <w:pPr>
        <w:spacing w:before="240" w:line="276" w:lineRule="auto"/>
        <w:rPr>
          <w:rFonts w:eastAsia="Calibri"/>
        </w:rPr>
      </w:pPr>
      <w:r w:rsidRPr="00A4268A">
        <w:rPr>
          <w:rFonts w:eastAsia="Calibri"/>
        </w:rPr>
        <w:t xml:space="preserve">Most of the staff have worked in the rest home prior to the current owner purchasing the facility or have transitioned from the owners other rest home. Employment contracts, confidentiality agreements and job descriptions are on file. Staff performance appraisals have been undertaken. Staff and contractors providing services have annual practising certificates where this is required. </w:t>
      </w:r>
    </w:p>
    <w:p w:rsidRPr="00A4268A">
      <w:pPr>
        <w:spacing w:before="240" w:line="276" w:lineRule="auto"/>
        <w:rPr>
          <w:rFonts w:eastAsia="Calibri"/>
        </w:rPr>
      </w:pPr>
      <w:r w:rsidRPr="00A4268A">
        <w:rPr>
          <w:rFonts w:eastAsia="Calibri"/>
        </w:rPr>
        <w:t xml:space="preserve">An orientation programme is provided for new staff; however records have not been retained. The registered nurse and manager commenced employment at Glencoe in February 2015 and are on call when not on site. Staff have participated in regular relevant on-going education. Staffing numbers and skill mix is appropriate. </w:t>
      </w:r>
    </w:p>
    <w:p w:rsidRPr="00A4268A">
      <w:pPr>
        <w:spacing w:before="240" w:line="276" w:lineRule="auto"/>
        <w:rPr>
          <w:rFonts w:eastAsia="Calibri"/>
        </w:rPr>
      </w:pPr>
      <w:r w:rsidRPr="00A4268A">
        <w:rPr>
          <w:rFonts w:eastAsia="Calibri"/>
        </w:rPr>
        <w:t>Resident information is uniquely identifiable, accurate, up to date and accessible to staff when required. Resident information was securely stored and not accessible or observable to the public.</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When there are changes to the resident’s needs a short term plan is developed and integrated into a long term plan, however not all six monthly care plan evaluations consistently evidence linkages with information noted in the incident reporting process.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their GP on admission and assessed thereafter either monthly or three monthly by their GP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 xml:space="preserve">Activity coordinators provide planned activities meeting the needs of residents as individuals and in group settings.  Families reported that they are encouraged to participate in the activities of the facility and those of their residents.  </w:t>
      </w:r>
    </w:p>
    <w:p w:rsidRPr="00A4268A" w:rsidP="00621629">
      <w:pPr>
        <w:spacing w:before="240" w:line="276" w:lineRule="auto"/>
        <w:rPr>
          <w:rFonts w:eastAsia="Calibri"/>
        </w:rPr>
      </w:pPr>
      <w:r w:rsidRPr="00A4268A">
        <w:rPr>
          <w:rFonts w:eastAsia="Calibri"/>
        </w:rPr>
        <w:t xml:space="preserve">A safe medicine administration system was observed at the time of audit, however the registered nurse’s medication competency was sighted as out of date.  </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are catered for. The service has a four week, summer/winter rotating menu which is approved by a registered dietitian. Resident’s nutritional requirements are met, however not all staff responsible for preparing and cooking food have relevant food and safety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Policies and procedures are available to guide staff in the safe disposal of waste and hazardous substances.  Appropriate supplies of personal protective equipment are readily available for staff use.</w:t>
      </w:r>
    </w:p>
    <w:p w:rsidRPr="00A4268A">
      <w:pPr>
        <w:spacing w:before="240" w:line="276" w:lineRule="auto"/>
        <w:rPr>
          <w:rFonts w:eastAsia="Calibri"/>
        </w:rPr>
      </w:pPr>
      <w:r w:rsidRPr="00A4268A">
        <w:rPr>
          <w:rFonts w:eastAsia="Calibri"/>
        </w:rPr>
        <w:t xml:space="preserve">The building has a current building warrant of fitness.  Clinical equipment has a current calibration. Electrical safety checks of electrical appliances have been undertaken in 2015.  New security cameras have been recently installed. The front gate has a keypad lock. </w:t>
      </w:r>
    </w:p>
    <w:p w:rsidRPr="00A4268A">
      <w:pPr>
        <w:spacing w:before="240" w:line="276" w:lineRule="auto"/>
        <w:rPr>
          <w:rFonts w:eastAsia="Calibri"/>
        </w:rPr>
      </w:pPr>
      <w:r w:rsidRPr="00A4268A">
        <w:rPr>
          <w:rFonts w:eastAsia="Calibri"/>
        </w:rPr>
        <w:t>There are 11 single occupancy bedrooms and two share twin bedrooms.  All have hand washing facilities present. There is one full bathroom with a toilet and shower and three separate toilets for residents use. Call bells are present in the bedrooms and bathrooms.  Personal space is sufficient, including for those who require staff assistance or the use of mobility devices. There is a separate lounge and dining area. There is good indoor/outdoor flow with deck and garden areas for the residents and their families to use. The facility has adequate heating and ventilation. Smoking is allowed in a designated outside area.</w:t>
      </w:r>
    </w:p>
    <w:p w:rsidRPr="00A4268A">
      <w:pPr>
        <w:spacing w:before="240" w:line="276" w:lineRule="auto"/>
        <w:rPr>
          <w:rFonts w:eastAsia="Calibri"/>
        </w:rPr>
      </w:pPr>
      <w:r w:rsidRPr="00A4268A">
        <w:rPr>
          <w:rFonts w:eastAsia="Calibri"/>
        </w:rPr>
        <w:t>Cleaning and laundry services are provided by employed staff.  These services are monitored through the quality programme and resident meetings. Residents and family members interviewed confirmed the facility is kept consistently clean and warm.</w:t>
      </w:r>
    </w:p>
    <w:p w:rsidRPr="00A4268A">
      <w:pPr>
        <w:spacing w:before="240" w:line="276" w:lineRule="auto"/>
        <w:rPr>
          <w:rFonts w:eastAsia="Calibri"/>
        </w:rPr>
      </w:pPr>
      <w:r w:rsidRPr="00A4268A">
        <w:rPr>
          <w:rFonts w:eastAsia="Calibri"/>
        </w:rPr>
        <w:t>Emergency policies and procedures provided guidance for staff in the management of emergencies. Staff have a current first aid certificate. There is an approved fire evacuation plan and fire evacuations drills have been conducted at least six monthly. There is sufficient supplies available on site for use in the event of emergency or an infection outbreak.</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a `non-restraint policy and philosophy`. The restraint minimisation and safe practice policy complies with the standard. There were no enablers in use at the time of the audit. Staff interviewed had a good understanding that the use of enablers was a voluntary process. Physical restraints are not used; however, one resident is unable to independently open the locked gate without assistance. Consent processes have not been completed for this and this environmental restraint is raised as an area for improvement in the consumer rights section of the standards.</w:t>
      </w:r>
    </w:p>
    <w:p w:rsidRPr="00A4268A">
      <w:pPr>
        <w:spacing w:before="240" w:line="276" w:lineRule="auto"/>
        <w:rPr>
          <w:rFonts w:eastAsia="Calibri"/>
        </w:rPr>
      </w:pPr>
      <w:r w:rsidRPr="00A4268A">
        <w:rPr>
          <w:rFonts w:eastAsia="Calibri"/>
        </w:rPr>
        <w:t>Staff have access to education on managing challenging behaviour and safe and effective alternatives to restraint at orientation.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has an appropriate infection prevention and control management system.  The infection control programme is implemented and provides a reduced risk of infections to staff, residents and visitors.  Relevant education is provided for staff and when appropriate the residents.  There is a monthly surveillance programme, where infections information is collated, analysed and trended with previous data.  Where trends are identified actions are implemented to reduce infections.  The infection surveillance results are reported and discussed at staff and resident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0"/>
        <w:gridCol w:w="1280"/>
        <w:gridCol w:w="94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 for residents, caregivers and visitors.   </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Informed consents were not evidenced to identify that residents and families were aware of camera’s that filmed external and internal communal areas of the facility.  Consent was also not evidenced for one client who is unable to open the external gate without support of staff or a family member.</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able to make their own choices and felt supported in their decision making.  Staff interviewed acknowledged the resident’s right to receive, refuse and withdraw consent for care/services. Staff were able to demonstrate good knowledge around challenging behaviours as evidenced in progress notes, care planning and observed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library or their marae.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detailed the residents or family member’s right to make a complaint. The process for reporting, investigating, documenting and following up the complaint was documented and the timeframes aligned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confirmed being aware of the complaints process and have no complaints.  The staff and managers interviewed were able to detail their responsibilities in the event a resident made a complaint.</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sighted.  It did not include details of all complaints and actions taken in response to a complaint.  Other complaints had been acknowledged, investigated and responded to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standard operating procedures identifies that a copy of the Code and information about the Nationwide Health and Disability Advocacy Service is provided to the resident and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that were interviewed reported that the Code was explained to them on admission and was also provided as part of the admission pack.  The Code of Rights and process was also regularly discussed at family/resident meetings. Family/whanau and residents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family/whanau interviewed reported that staff often go above and beyond families’ expectations when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expressed no concerns in relation to residents’ abuse or neglect.  The family members reported that staff know their relatives well and are very good at intervening prior to and with any potential challenging behaviours.  This was also evidenced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identifying the needs of its residents and ensuring that staff are trained and capable of working appropriately with all residents in their care.  They are in consultation, involved and participate with the local iwi. This was evidenced by knowledge of a local iwi kaumatua who visits, and residents who belong to different marae.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coordinator/RN and nurse manager/RN reported that there are no barriers to Maori accessing the service.  At the time of the audit there were two Maori residents.   The caregivers interviewed demonstrated good understanding of practices that identified the needs of the Maori resident and importance of whanau and their Maori culture.  This was also evidenced in care plans expressing the resident’s specific and individual needs in relation to their Maori culture and beliefs.   The resident and relative/whanau interviewed confirmed that they were happy with the service and had no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and enjoy different cultural days that are organised within the facility and within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clinical coordinator/RN and caregivers and care planning.  Policies and procedures are linked to evidence-based practice. There are regular visits by residents’ GPs, links with the mental health services, hospice, the geriatrician and the DHB.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all residents and relatives spoke English and did not require interpreting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incidence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Glencoe Rest home has a documented mission statement and philosophy on care that is focused around the provision of individualised, resident focused care that maximises independence within a homely environment. The owner and manager monitors the progress in achieving these goals via the internal audit process and review of resident and family satisfaction. The owner and the manager have an ‘open door’ for residents and family. A number of goals/objectives are set for the forthcoming year and these are monitored and documented once completed.</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the owner who has owned this rest home since February 2015 and is on site at least 20 hours a week and is on call when not on site. The owner has another rest home in Auckland (purchased in October 2009). Records are not available to demonstrate the owner has participated in more than eight hours of education relevant to managing an aged care service as required to meet the provider’s contract with Counties Manukau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A new manager has been employed (February 2015) and lives on site. The manager participates in relevant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RN, who is the clinical co-ordinator commenced employment at Glencoe in February 2015 and is on site four days a week (32 hours a week).  The clinical co-ordinator is on call when not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owner’s absence the clinical co-ordinator and the manager share the responsibilities for performing the owner’s role (refer to 1.2.1.3).  An experienced RN employed at the owners other rest home is available for advice and support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plan and this was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policies are developed by an external consultant and then reviewed and localised to reflect Glencoe Rest Home by the clinical co-ordinator. Changes in policy are discussed at staff meetings as verified by staff and managers interviewed and reference in meeting minutes. Document control processes are implemented and out of date policies are archived.</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quality and risk programme is undertaken via monthly staff meetings.  The minutes of four meetings were reviewed and included discussions on individual resident’s needs, hazards, complaints and compliments, changes to policies/procedures/practices, the results of audits, security, education, the use of restraint, infection data and the number and type of reported incidents.  The management team have an ‘open door’ to staff and residents/families.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have been undertaken and are conducted using template forms. A schedule is included in the quality policy detailing what audits are to be undertaken and when. The six audits sampled during audit identified there is good compliance by staff in meeting the requirements of the organisation’s policy and the audit criteria.  Where improvements were required these improvements have been documented, implemented and monitored.  Short term care plans are utilised to document follow-up for applicable incidents. While corrective actions have been taken following complaints, these are not always documented (refer to criterion 1.1.13).</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was conducted.  Only one response has been received to date (August 2015). The manager advised consideration is being given on how to improve the response rate for future surveys.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every month.  Minutes sighted reflected discussion on food, the activities programme, staff and facility cleanliness. Resident compliments were recorded and communicated to staff. Education has been provided to residents on infection prevention and control topics.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report any hazards.  Where hazards/maintenance concerns have been identified these have been eliminated or minimised. A hazard register was available that detailed a range of hazards related to the facility/environment as well as resident care.  The mitigation strategies have been detailed. The hazard register was last reviewed in February 2015.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Organisation risks are categorised and documented and mitigation strategies noted. The owner and the manager were able to discuss changes in organisation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and accident reporting policy which is implemented by staff. A new event reporting form has been introduced.  Applicable events are being reported, investigated and responded to in a timely manner. The clinical co-ordinator advises the caregivers phone and advise of resident related events in the event the RN is not on site.</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are used to provide guidance for the caregivers following reported incidents.  The sample of incident reports reviewed at random including medication errors, resident falls, skin tear/wounds, episodes of challenging behaviour, and missing property demonstrated prompt reporting, investigation and follow-up was occurring.  Reported events are discussed at the monthly staff meetings as confirmed by staff interviewed and verified in the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A register is maintained each month of all reported events. The register details the date, resident and details of each event.  The number and type of incidents is analysed for each month. The resident care plan evaluations sampled did not reference falls events (refer to 1.3.8.2).</w:t>
            </w:r>
          </w:p>
          <w:p w:rsidR="00EB7645" w:rsidRPr="00BE00C7" w:rsidP="00BE00C7">
            <w:pPr>
              <w:pStyle w:val="OutcomeDescription"/>
              <w:spacing w:before="120" w:after="120"/>
              <w:rPr>
                <w:rFonts w:cs="Arial"/>
                <w:b w:val="0"/>
                <w:lang w:eastAsia="en-NZ"/>
              </w:rPr>
            </w:pPr>
            <w:r w:rsidRPr="00BE00C7">
              <w:rPr>
                <w:rFonts w:cs="Arial"/>
                <w:b w:val="0"/>
                <w:lang w:eastAsia="en-NZ"/>
              </w:rPr>
              <w:t>The owner and clinical co-ordinator are able to detail the events that require notification and this includes the Ministry of Health, the DHB, the coroner, the Ministry of Business and Innovation.  Details of these events are included in policies. The owner and manager advises there have been no events that have required notification since the purchase of the business except that related to the change of ownership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the process that is required related to human resources practices. The policy aligns with current accepted practice. The majority of staff were employed by the previous owner and continued under the new owner. Two staff have transferred in from the owner’s other rest home.  The manager was employed in February 2015. The owner has registered to undertake police checks for future employees. </w:t>
            </w:r>
          </w:p>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(APC) for registered health professionals are verified as being current. The APC for the general practitioner had expired two days prior to audit.  A copy of the current certificate was obtained during audit.  Records for the RNs and pharmacists are current. The driver’s licence for applicable staff and managers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are provided with an orientation to the facility, individual residents and to their individual role and responsibilities. Records, however, are not consistently available to evidence this.  </w:t>
            </w:r>
          </w:p>
          <w:p w:rsidR="00EB7645" w:rsidRPr="00BE00C7" w:rsidP="00BE00C7">
            <w:pPr>
              <w:pStyle w:val="OutcomeDescription"/>
              <w:spacing w:before="120" w:after="120"/>
              <w:rPr>
                <w:rFonts w:cs="Arial"/>
                <w:b w:val="0"/>
                <w:lang w:eastAsia="en-NZ"/>
              </w:rPr>
            </w:pPr>
            <w:r w:rsidRPr="00BE00C7">
              <w:rPr>
                <w:rFonts w:cs="Arial"/>
                <w:b w:val="0"/>
                <w:lang w:eastAsia="en-NZ"/>
              </w:rPr>
              <w:t>Staff have undergone a performance appraisal since February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ongoing education is planned and provided. The education is appropriate to the service setting and includes in-service education on site as well as access to external education. Records of attendance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requirements and this meets the ARRC contract requirements. There is at least one caregiver on duty at all times and the owner, manager and clinical co-ordinator are on call when not on site. This is confirmed by staff and managers interviewed. Staff have a current cardiopulmonary resuscitation certificate and caregivers have a current medication competency. The caregiver’s share responsibility for resident care, cleaning and laundry services over the 24 hour period.  The manager assists with food services. An activities coordinator is employed for 16 hours a week, rostered over at least three changing days each week (including weekdays and weekends).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works 32 hours a week (Monday, Tuesday, Wednesday and Friday) as noted on the roster and is contactable via phone if there are urgent issues outside of the rostered hours.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advised the residents received timely and appropriate care from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were being safely held on site for seven years. These are catalogued for easy retrieval.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admission/enquiry form that records pre-admission information.  At the time of the audit all residents were over the age of 65.  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Vacancies are updated daily through Eldernet.  Staff contact the facility manager or clinical co-ordinator if enquiries are made by potential perspective residents and/or their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 clearly describes the processes to ensure safe administration of all medications.  This includes competency requirements, prescribing, recording, process when an error occurs as well as definitions for ‘over the counter’ medications that may be required by residents.  The sighted policies meet the legislative requirements and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locked medicine trolley in the office which is locked when not occupied.  A locked metal container is used for controlled medications, the medicine register was sighted.  Medications that require refrigeration are stored in a separate fridge.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medicine charts reviewed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administers medicines.  All the medicine files reviewed have a photo of the resident to assist with the identification of the resident and a pharmacy medication/tablet identifying sheet.  At the time of audit there were no residents who were self-administering.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designated care staff as responsible for medicine management, however medication competency for the registered nurse was overdue by two months.  The registered nurse administering medicines at the time of audit demonstrated competency related to medicine management.  Senior caregivers are assessed six monthly to be competent with medication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monitoring and surveillance of the food preparation and hygiene is carried out.  Food procurement, production, preparation, storage, delivery and disposal was sighted at the time of audit.  Fridge and freezer recordings are observed daily and recorded and were sighted and meet the food safe requirements.  Kitchen staff interviewed have a very good understanding of food safety management, however only one of all staff responsible for preparing and cooking of food has completed a food and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 rotating menu with summer and winter variations.  The menu has been reviewed by a dietitian.  Where unintentional weight loss is recorded, the resident is discussed with the GP and referred for a dietitian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All meals are cooked and served directly from the kitchen at the time of the meal, with residents having the option of trays in their rooms.  Residents were observed to be offered a second.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for all residents.  The service continues to use organisational paper based assessment tools to complement the interRAI assessment.  Assessments are carried out by a RN appropriate to the level of care of the resident and include falls, skin integrity, and challenging behaviour, nutritional needs, continence, and communication, end of life, self-medication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ulcer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resident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five residents’ files reviewed have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Five residents’ files reviewed included diversional therapy care plans identifying the resident’s individual diversional, motivational and recreational requirements showing documented evidence of how these are managed.  The files reviewed showed input from RNs, care and activities staff, and medical and allied health services.  The RN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the registered nurse and caregivers demonstrated good knowledge of individual residents, providing individual and specific care that was reflected in the resident’s care plan.  Staff were seen to pre-empt and redirect/distract residents with challenging behaviours promoting quality of life, independence, choices and safety of the residents as individuals and in group settings.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choices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activity co-ordinator who works a total of 16 hours per week.  The 16 hours are flexible and worked within a 7 day working week (including weekends) to allow for different activities and community events occurring.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plan/calendar sighted is developed based on the residents’ needs and interests and can be easily adapted and changed depending on the residents’ interest and reaction at the time. The activity coordinator advertises the upcoming activities on the calendar by providing residents on the notice boards through the facility.  The caregivers assist with the planned activities seven days a week. Regular activities include church services, happy hour, regular visiting entertainment and includes trips to other events occurring in the community such as weekly craft day and community set events.  Daily activities occur within the main lounge.  Activities focus on the five sensors and reminiscing, including current affairs.   For residents that wish to remain in their rooms, activities and one to one interaction is offered and encouraged by staff.   The care staff interviewed state that they have access to activities to support residents after hours and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over a 24 hour period.  Daily activities attendance sheet records are maintained for each resident and is assessed and reviewed based on the enjoyment and interest of the resident.  The goals are updated and evaluated in each resident’s file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 that they are always encouraged to partake in the activities with their residents and supported when taking their relatives out into the community.  Family/whanau report that there is a wide range of interesting and different exciting activities and events that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clearly documented in the care plans reviewed.  Residents whose health status changes, and/or is not responding to the services/interventions being delivered, are discussed with their GP and family/whanau.  Short term care plans are sighted for wound care, pain,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Information specifically related to incident of falls was however not evident in the evaluations of three of five residents’ files sighted.</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GP who either visits the resident at the facility or a family member or clinical co-ordinator will take the resident to see the GP in the practice when required due to the resident’s choice.  The RN or the GP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referrals to requested services are well managed from the facility and no concerns are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waste is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and a reference wall chart on actions to take in the event of exposure were sighted for chemicals in use. The washing machine has been fitted with an auto dispenser for laundry products.</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is available on site including disposable gloves, aprons, masks, and face protection. The staff interviewed on this topic detailed what PPE was required to be worn by staff and when, in order to minimise risk of exposure to blood and other body fluids and contaminated items/equipment.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 they would report any inadvertent exposures to hazardous substances and blood and body fluids via the incident reporting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(expiry 16 March 2016).  An external company undertakes performance monitoring and electrical safety checking of clinical equipment. Electrical equipment checked at random have a current electrical testing and tag label. Clinical equipment has undergone performance monitoring testing and clinical calibration in April 2015.  Hot water testing is conducted of the kitchen and at least two residents’ rooms/areas every month. The temperatures in resident areas are at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The vehicle used to transport residents to appointments and activities have a current registration and warrant of fitness.  Staff driving the vehicle have a current driver’s licence and a copy is held in the staff members file.</w:t>
            </w:r>
          </w:p>
          <w:p w:rsidR="00EB7645" w:rsidRPr="00BE00C7" w:rsidP="00BE00C7">
            <w:pPr>
              <w:pStyle w:val="OutcomeDescription"/>
              <w:spacing w:before="120" w:after="120"/>
              <w:rPr>
                <w:rFonts w:cs="Arial"/>
                <w:b w:val="0"/>
                <w:lang w:eastAsia="en-NZ"/>
              </w:rPr>
            </w:pPr>
            <w:r w:rsidRPr="00BE00C7">
              <w:rPr>
                <w:rFonts w:cs="Arial"/>
                <w:b w:val="0"/>
                <w:lang w:eastAsia="en-NZ"/>
              </w:rPr>
              <w:t>Grab rails are present in the patient shower and toilet areas. There are handrails in the corridors. Small cracks are starting to appear in some areas of the floor. This has been noted in the facility hazard register and replacement linoleum is scheduled to occur in early 2016 as per the strategic plan. Some electrical work has been undertaken in the corridors in the last year.</w:t>
            </w:r>
          </w:p>
          <w:p w:rsidR="00EB7645" w:rsidRPr="00BE00C7" w:rsidP="00BE00C7">
            <w:pPr>
              <w:pStyle w:val="OutcomeDescription"/>
              <w:spacing w:before="120" w:after="120"/>
              <w:rPr>
                <w:rFonts w:cs="Arial"/>
                <w:b w:val="0"/>
                <w:lang w:eastAsia="en-NZ"/>
              </w:rPr>
            </w:pPr>
            <w:r w:rsidRPr="00BE00C7">
              <w:rPr>
                <w:rFonts w:cs="Arial"/>
                <w:b w:val="0"/>
                <w:lang w:eastAsia="en-NZ"/>
              </w:rPr>
              <w:t>The bathroom floors have non slip linoleum floor covering. Furniture and fixtures were appropriate to the service setting. Residents have personalised their rooms.</w:t>
            </w:r>
          </w:p>
          <w:p w:rsidR="00EB7645" w:rsidRPr="00BE00C7" w:rsidP="00BE00C7">
            <w:pPr>
              <w:pStyle w:val="OutcomeDescription"/>
              <w:spacing w:before="120" w:after="120"/>
              <w:rPr>
                <w:rFonts w:cs="Arial"/>
                <w:b w:val="0"/>
                <w:lang w:eastAsia="en-NZ"/>
              </w:rPr>
            </w:pPr>
            <w:r w:rsidRPr="00BE00C7">
              <w:rPr>
                <w:rFonts w:cs="Arial"/>
                <w:b w:val="0"/>
                <w:lang w:eastAsia="en-NZ"/>
              </w:rPr>
              <w:t>The residents’ bedrooms are of a suitable size. The residents and family members interviewed confirmed the facility is appropriately furnished to create a home like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There was a number of external chairs that residents and family can utilise including on the deck and under the shade of trees.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 basins are present in each resident’s bedroom. Waterless hand gel is also readily available for staff.</w:t>
            </w:r>
          </w:p>
          <w:p w:rsidR="00EB7645" w:rsidRPr="00BE00C7" w:rsidP="00BE00C7">
            <w:pPr>
              <w:pStyle w:val="OutcomeDescription"/>
              <w:spacing w:before="120" w:after="120"/>
              <w:rPr>
                <w:rFonts w:cs="Arial"/>
                <w:b w:val="0"/>
                <w:lang w:eastAsia="en-NZ"/>
              </w:rPr>
            </w:pPr>
            <w:r w:rsidRPr="00BE00C7">
              <w:rPr>
                <w:rFonts w:cs="Arial"/>
                <w:b w:val="0"/>
                <w:lang w:eastAsia="en-NZ"/>
              </w:rPr>
              <w:t>There was one bathroom with a shower and toilet and three separate residents’ toilets. A shower register details the days of the week residents are to be offered showers and the time of the day the resident prefers to have a shower. The staff interviewed advised there are enough bathroom and shower facilities for the residents’ use. Privacy locks are present on bathroom doors. There is a separate bathroom for the use of staff. No resident or family member interviewed expressed any concerns about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11 single occupancy rooms and two double occupancy rooms. The rooms contained sufficient space for the residents, personal possessions and use of mobility devices if required. Privacy curtains are present in the twin rooms to optimise resident privacy.  Residents are sighted mobilising independently inside and outside the rest home independently.</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members interviewed were satisfied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lounge and separate dining area that residents and their family or visitors can use. There is a separate alcove at the end of one of the corridors where the residents’ telephone is located along with two arm chairs.  There is also a shaded furnished area on the veranda and outdoor furniture throughout the garden/grounds. The residents and family members interviewed confirmed that there is sufficient space available for consumers and support persons to use in addition to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detailed how the cleaning and laundry services are to be provided. The caregivers share these duties over a 24 hour period. The residents and family members interviewed confirmed the rest home is normally kept clean and tidy and residents’ laundry is washed and returned in a timely manner.  One resident completed the resident satisfaction survey (August 2015) and was satisfied with these aspects of service. Environmental cleaning is discussed at the resident’s monthly meeting. The minutes feature compliments for staff on how the facility is kept clean and tidy.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Audits laundry services were undertaken in June 2015 as scheduled on the audit calendar. The reports demonstrated initially some small improvements were required in staff processes. The follow-up audit in July 2015 verifies these have been addressed. Cleaning audits are also scheduled to occur on the annual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designated secure cupboards.  Instructions for managing emergency exposures to chemicals is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by the New Zealand Fire Service (NZFS) in a letter dated 8 May 1999.  A subsequent letter from the NZFS in November 2015 has recommended the plan be reviewed and updated.  The owner advises a revised plan has since been lodged with NZFS electronically and a copy of this document was sighted. A fire evacuation drill was last conducted on 20 November 2015 and the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and a wall mounted emergency ‘flip chart” located in the staff office includes guidance for staff on responding to a range of emergency events, including (but not limited to) earthquake, flooding and volcanic eruptions.  Staff were provided with training on emergency events and security in April 2015 and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staff files and training records verifies all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supplies available of drinking water, lighting, blankets and other clinical supplies for use in emergency. A sufficient store of dry food stuffs was also available and this is kept separately from ‘in use’ food.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present in the bathrooms and residents’ bedrooms. They alert audibly and a light also illuminates outside the applicable room. Two call bells tested at random were fully functioning.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advised the external doors and windows are routinely checked and locked prior to darkness. A repeat check occurs at the time of night shift handover and then regularly throughout the night.  A number of security cameras have been installed in the last few months.  These monitor outside the building and inside in the dining room, lounge, kitchen, and corridors.  Images are displayed on a monitor in the staff office area and are archived electronically for up to a one month period. The manager can review images remotely at any time.  Related consent/communication processes are included in the area for improvement raised in criterion 1.1.10.2.</w:t>
            </w:r>
          </w:p>
          <w:p w:rsidR="00EB7645" w:rsidRPr="00BE00C7" w:rsidP="00BE00C7">
            <w:pPr>
              <w:pStyle w:val="OutcomeDescription"/>
              <w:spacing w:before="120" w:after="120"/>
              <w:rPr>
                <w:rFonts w:cs="Arial"/>
                <w:b w:val="0"/>
                <w:lang w:eastAsia="en-NZ"/>
              </w:rPr>
            </w:pPr>
            <w:r w:rsidRPr="00BE00C7">
              <w:rPr>
                <w:rFonts w:cs="Arial"/>
                <w:b w:val="0"/>
                <w:lang w:eastAsia="en-NZ"/>
              </w:rPr>
              <w:t>The gate at the entrance to the facility has a pin code and residents and family members are provided with the code. The code is also written on the bottom area of the keypad panel.  All (but one resident) is able to independently enter and exit via the gate. (Refer to criterion 1.1.10.2). An intercom is present at the front gate, and security cameras are present for other visitors to call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windows present in all residents’ bedrooms. Doors and windows are sighted open during the audit.  Heating is provided when required from two wall mounted heat pumps in the corridors and another heat pump is present in the lounge. There are wall mounted heaters present in each resident’s bedroom.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confirmed the facility was always warm and well ventilated.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area outside for residents who smoke. Staff and visitors are required to smoke off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clinical coordinator/registered nurse.  The infection control coordinator holds accountability and responsibility for following the programme in the infection control manual.  The infection control coordinator monitors for infections by using standardised definitions to identify infections, surveillance, changes in behaviours, monitoring of organisms related to antibiotic use and the monthly surveillance record.  Infection control is discussed at each staff meetings.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staff communication book, one to one,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were observed and found in all showers and toilets.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coordinator/registered nurse has the role of infection prevention and control coordinator.  Infection control issues are discussed at staff and resident meetings. The facility has the support of a clinical infection control specialist nurse who is available for advice on infection prevention. Advice can also be sought from different external sources including the laboratory diagnostic services and GP.  The infection control coordinator has undertaken a course in infection prevention and control through the Ministry of Health online training website.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including antibiotic use, MRSA screening, bandaging, wound management, blood and body spills, cleaning, disinfection and sterilisation, laundry and standard precautions.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nurse/clinical co-ordinator and caregivers interviewed were able to demonstrate good infection prevention and control techniques and awareness of standard precautions, such as hand washing.  Hand washing of staff is reviewed regularly by the clinical coordinator.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urinary tract infections, respiratory tract infections, skin and wound infections which include cellulitis/tissue/wound infections and scabies, eye infections and gastroenteritis.  The monthly analysis of the infections includes comparison with the previous month, reason for increase or decrease, trends and actions taken to reduce infections.  This information is fed back and discussed in staff meetings.   Infection rates are reported as being normally low, however infection rates for chest infections were elevated in July and September of this year.  The monthly analysis evidenced reflected that the same residents were affected in both months due to their chronic medical history and discussion was had on how to reduce, minimise risk, trends and actions to take to reduce the infection rate.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Glencoe Rest home has policies and procedures that promotes a ‘restraint free’ environment. The policy includes definitions of restraints and enablers and these align with the standards. The clinical co-ordinator is the restraint coordinator. Staff and the clinical co-ordinator advise there have been no residents requiring personal restraint since the last audit. Use of restraint is discussed at the monthly staff meetings as verified in meeting minutes sampled. Staff were provided with training on restraint minimisation in April 2015 and again in September 2015 along with management of challenging behaviours.  There was good attendance at both in-services.  Staff could identify processes in emergency situations if the use of restraint was being considered. The staff interviewed had a good understanding of enablers and that they were only used in a voluntary capacity for safety purposes.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except one are able to independently enter and exit the facility and the locked gate without assistance. The resident that is unable to utilise the keypad or exit button mechanisms is independently mobile.  The patient’s next of kin is very aware of this and is very satisfied that the patient is unable to leave the grounds without being accompanied by either a family member or staff due to safety concerns. Documentation of any staff conversations or consent for environmental restraint is not sighted during audit.  This is included in the area for improvement raised in criterion 1.1.10.2. The entrance code is known by the other residents and family members. Residents were sighted during the audit to be entering and exiting freely.</w:t>
            </w:r>
          </w:p>
          <w:p w:rsidR="00EB7645" w:rsidRPr="00BE00C7" w:rsidP="00BE00C7">
            <w:pPr>
              <w:pStyle w:val="OutcomeDescription"/>
              <w:spacing w:before="120" w:after="120"/>
              <w:rPr>
                <w:rFonts w:cs="Arial"/>
                <w:b w:val="0"/>
                <w:lang w:eastAsia="en-NZ"/>
              </w:rPr>
            </w:pPr>
            <w:r w:rsidRPr="00BE00C7">
              <w:rPr>
                <w:rFonts w:cs="Arial"/>
                <w:b w:val="0"/>
                <w:lang w:eastAsia="en-NZ"/>
              </w:rPr>
              <w:t>One other family member and the five residents interviewed identified there are no restrictions on residents coming and going freely from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656"/>
        <w:gridCol w:w="3295"/>
        <w:gridCol w:w="16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demonstrate their ability to provide the information that consumers need to have, to be actively involved in their recovery, care, treatment, and support as well as for decision-making.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Security cameras are in use at the facility. Minutes from a family meeting evidence that the purpose of the cameras was discussed, but not all residents and family members were present at the time.  There is no information in the welcome pack, consent forms or evidence of signs within the facility acknowledging that cameras are present.</w:t>
            </w:r>
          </w:p>
          <w:p w:rsidR="00EB7645" w:rsidRPr="00BE00C7" w:rsidP="00BE00C7">
            <w:pPr>
              <w:pStyle w:val="OutcomeDescription"/>
              <w:spacing w:before="120" w:after="120"/>
              <w:rPr>
                <w:rFonts w:cs="Arial"/>
                <w:b w:val="0"/>
                <w:lang w:eastAsia="en-NZ"/>
              </w:rPr>
            </w:pPr>
            <w:r w:rsidRPr="00BE00C7">
              <w:rPr>
                <w:rFonts w:cs="Arial"/>
                <w:b w:val="0"/>
                <w:lang w:eastAsia="en-NZ"/>
              </w:rPr>
              <w:t>All staff are aware that a resident is unable to access the external gate without assistance.  The resident’s family member verbally expressed that they are happy that the resident is unable to access outside the gate on their own due to diminished capacity and safety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Security cameras have being recently installed and monitor external and internal communal areas including the lounge, dining room, staff office, kitchen and hallway areas.  Not all residents and family interviewed are aware of these cameras.  Security camera footage is archived for up to one month.</w:t>
            </w:r>
          </w:p>
          <w:p w:rsidR="00EB7645" w:rsidRPr="00BE00C7" w:rsidP="00BE00C7">
            <w:pPr>
              <w:pStyle w:val="OutcomeDescription"/>
              <w:spacing w:before="120" w:after="120"/>
              <w:rPr>
                <w:rFonts w:cs="Arial"/>
                <w:b w:val="0"/>
                <w:lang w:eastAsia="en-NZ"/>
              </w:rPr>
            </w:pPr>
            <w:r w:rsidRPr="00BE00C7">
              <w:rPr>
                <w:rFonts w:cs="Arial"/>
                <w:b w:val="0"/>
                <w:lang w:eastAsia="en-NZ"/>
              </w:rPr>
              <w:t>One resident is unable to open the external gate without staff assistance.  The resident has diminished cognitive capacity.  The resident’s family member interviewed is happy the resident is unable to independently leave the premises.  There is no documentation in the resident’s record to acknowledge this aspect of care or consent for environmental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and family are informed of the use of security cameras and records are retained to demonstrate this.</w:t>
            </w:r>
          </w:p>
          <w:p w:rsidR="00EB7645" w:rsidRPr="00BE00C7" w:rsidP="00BE00C7">
            <w:pPr>
              <w:pStyle w:val="OutcomeDescription"/>
              <w:spacing w:before="120" w:after="120"/>
              <w:rPr>
                <w:rFonts w:cs="Arial"/>
                <w:b w:val="0"/>
                <w:lang w:eastAsia="en-NZ"/>
              </w:rPr>
            </w:pPr>
            <w:r w:rsidRPr="00BE00C7">
              <w:rPr>
                <w:rFonts w:cs="Arial"/>
                <w:b w:val="0"/>
                <w:lang w:eastAsia="en-NZ"/>
              </w:rPr>
              <w:t>Ensure that in the event a resident is unable to independently leave the premises without assistance that informed consent is able to be demonstrated.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was sighted and details complaints received since February 2015. There have been very few complaints received.  The most recent complaint (early November 2015) has not been entered onto the complaints register.  While staff can detail what has happened in response to this complaint, the actions undertaken have not yet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 and manager advise there have been no complaints to the Health and Disability Commissioner, the DHB or the Ministry of Health (MOH) since the last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does not include details of the most recent complaint (November 2015) and actions undertaken in response to the complaint, although an acknowledgment letter was sent to the complainant.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is maintained and includes all required documentation.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day to day operations and ensuring the wellbeing of residents is the responsibility of the owner who purchased the rest home in February 2015.  The owner is on site at least 20 hours a week and is on call when not on site. The owner has another rest home in Auckland and shares time between both sites. Records are not available to demonstrate the owner has participated in more than eight hours of education in the last year relevant to managing an aged care service as required to meet the provider’s contract with counties Manukau District Health Board (CMDHB).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manager has been employed (commencing February 2015) and lives on site. The manager is new to the aged care sector in New Zealand.  The manager has worked overseas in information technology.  The manager advises she completed a social work qualification overseas as an early career choice.  Records to verify this training were not sighted.  The manager has to date completed two modules of a New Zealand industry approved qualification, and over eight hours of education relevant to managing an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(RN) is also the clinical coordinator, and trained overseas and then completed the requirements for New Zealand registration.  The RN has completed a certificate in healthcare management after arriving in New Zealand and the certificate of completion was sighted. The clinical co-ordinator has worked in aged care in NZ since 2013 including the other rest home owned by the owner.  The clinical co-ordinator participates in relevant ongoing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the owner has attended eight hours of education relevant to managing an aged care service in the last 12 months as required to meet the aged related residential care (ARRC) contract with Counties Manukau District Health Board (CMDHB).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available to demonstrate that the person responsible for managing (as detailed in the ARRC contract) completes at least 8 hours of relevant education every year.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are provided with an orientation to the facility and to their individual role and responsibilities. The orientation includes being supernumerary for a period of time and working with experienced staff.  Staff advised the orientation prepared them for their role and included health and safety, quality and risk, policy/processes and individual resident care needs. Records, however, are not consistently available to evidence the orientation programme. There is also a checklist to be completed and this was omitted for the new manager and the two staff who transferred in from the owner’s other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new staff advise they have been provided with an orientation to the facility and residents, records of this process have not been maintained for the two new staff/managers.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retained to demonstrate that staff and managers complete the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administering medicines at the time of audit demonstrated competency related to medicine management.  The medication competency test sighted was completed in full and the person deemed as competent, however the required annual medication competency is overdue by two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medication competency was last completed in August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responsible for medication management undergo competency assessments on at least an annual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who work in the kitchen at the time of audit have a very good understanding of food safety management, however only the manager has a certificate to verify completion of a food safety training programme. None of the other staff responsible for preparing and cooking of food in the facility have completed a food and safety course.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all staff involved with food preparation/cooking have completed food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involved with food services have completed approved food safety training and records are available to demonstrate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such as challenging behaviours, wounds and assessment tool outcomes were evidenced in long term care plan evaluations and multidisciplinary meetings and evidence of discussion with families and/or significant others and referral to external resources was documented in the progress notes.  Staff interviewed demonstrated that they were aware of the specific needs of the residents to reduce and minimise risk.   Three of five residents’ files reviewed did not show evidence in the evaluations referencing falls (as reported via the incident reporting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monthly care plan evaluations do not consistently evidence linkages with information obtained via the incident reporting process. As an example three of five residents’ files reviewed did not include in the evaluation that the resident had fallen in the preceding six month period.  One resident had had three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relevant information from incidents and accidents is included in the resident’s evaluations.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Udian Holdings Limited - Glencoe Resthome</w:t>
    </w:r>
    <w:bookmarkEnd w:id="58"/>
    <w:r>
      <w:rPr>
        <w:rFonts w:cs="Arial"/>
        <w:sz w:val="16"/>
        <w:szCs w:val="20"/>
      </w:rPr>
      <w:tab/>
      <w:t xml:space="preserve">Date of Audit: </w:t>
    </w:r>
    <w:bookmarkStart w:id="59" w:name="AuditStartDate1"/>
    <w:r>
      <w:rPr>
        <w:rFonts w:cs="Arial"/>
        <w:sz w:val="16"/>
        <w:szCs w:val="20"/>
      </w:rPr>
      <w:t>2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