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 Kilda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Kilda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October 2015</w:t>
      </w:r>
      <w:bookmarkEnd w:id="7"/>
      <w:r w:rsidRPr="009418D4">
        <w:rPr>
          <w:rFonts w:cs="Arial"/>
        </w:rPr>
        <w:tab/>
        <w:t xml:space="preserve">End date: </w:t>
      </w:r>
      <w:bookmarkStart w:id="8" w:name="AuditEndDate"/>
      <w:r w:rsidR="00A4268A">
        <w:rPr>
          <w:rFonts w:cs="Arial"/>
        </w:rPr>
        <w:t>15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St Kilda Care Home provides rest home, hospital and dementia level care for up to 80 residents.  During the audit, there were 68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Waikato District Health Board.  The audit process included the review of policies and procedures, the review of residents and staff files, observations, and interviews with residents, family, management, staff and a nurse practitioner.</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manager/registered nurse.  There are quality systems and processes being implemented.  The service has been actively working on reducing the incidence of falls, reducing turnover of staff and improving communication with service users.  Feedback from residents and families was very positive about the care and services provided.  </w:t>
      </w:r>
    </w:p>
    <w:p w:rsidRPr="00A4268A">
      <w:pPr>
        <w:spacing w:before="240" w:line="276" w:lineRule="auto"/>
        <w:rPr>
          <w:rFonts w:eastAsia="Calibri"/>
        </w:rPr>
      </w:pPr>
      <w:r w:rsidRPr="00A4268A">
        <w:rPr>
          <w:rFonts w:eastAsia="Calibri"/>
        </w:rPr>
        <w:t xml:space="preserve">There is one area identified for improvement around the documentation of corrective action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strive to ensure that care is provided in a way that focuses on the individual, values residents' autonomy and maintains their privacy and choice.  The service functions in a way that complies with the Code of Health and Disability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care home manager is a registered nurse.  Clinical manager, registered nurses, caregivers and support staff support her.  The quality and risk management programme includes a service philosophy, goals and a quality and risk management programme.  Quality activities are conducted, which generate improvements in practice and service delivery.  Meetings are held to discuss quality and risk management processes and results.  Resident and family meetings are held and plans are in place to survey resident and family satisfaction annually.  Health and safety policies, systems and processes are implemented to manage risk.  Incidents and accidents are reported and investigated.  A comprehensive education and training programme has been implemented with a current plan in place.  Appropriate employment processes are adhered to.  A roster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sample of residents’ records reviewed provides evidence that the provider utilises the InterRAI assessment to assess, plan and evaluate care needs of the residents.  A registered nurse develops resident outcomes and goals in consultation with the resident and/or family.  Care plans demonstrate service integration and are reviewed at least six monthly.  Changes to health status and interventions required are updated on the care plans to reflect the residents current health status.  Resident files include notes by the general practitioner, nurse practitioner and other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An activities programme is implemented separately for the rest home/hospital area and for the dementia care unit.  Residents and families report satisfaction with the activities programme.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prepared on site.  All residents' nutritional needs are identified and documented.  Choices are available and are provided.  Meals are well presented and a dietitian has reviewed the Bupa menu plans.  Nutritious snacks are available 24/7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certificate for public use.  Resident rooms are single, spacious and personalised.  Communal areas within each area are easily accessed with appropriate seating and furniture to accommodate the needs of the residents.  External areas are safe and well maintained.  There is a safe external walking path and gardens for the dementia care residents that are freely accessible. </w:t>
      </w:r>
    </w:p>
    <w:p w:rsidRPr="00A4268A">
      <w:pPr>
        <w:spacing w:before="240" w:line="276" w:lineRule="auto"/>
        <w:rPr>
          <w:rFonts w:eastAsia="Calibri"/>
        </w:rPr>
      </w:pPr>
      <w:r w:rsidRPr="00A4268A">
        <w:rPr>
          <w:rFonts w:eastAsia="Calibri"/>
        </w:rPr>
        <w:t xml:space="preserve">There are shared and single ensuites.  Cleaning and laundry services are well monitored through the internal auditing system.  Appropriate training, information and equipment for responding to emergencies is provided.  There is an emergency management plan in place and adequate civil defence supplies in the event of an emergency.  A first aider is on duty at all times.  The facility has ceiling heating and the temperature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 and one resident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is appropriate for the size, complexity and degree of risk associated with the service.  The infection control programme has been reviewed annually.  The infection officer (registered nurse) is responsible for coordinating/providing education and training for staff.  The Bupa quality team supports the infection control officer.  Infection control training is provided at least annually for staff. The infection control manual outlines a comprehensive range of policies, standards and guidelines, training and education of staff and scope of the programme.  Information obtained through surveillance is used to determine infection control activities, resources and education needs within the facility.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2"/>
        <w:gridCol w:w="1280"/>
        <w:gridCol w:w="95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policy and procedure is implemented.  Discussions with the care home manager/registered nurse (RN), clinical manager/RN and staff (three caregivers, three registered nurses (RNs) and two activities staff) confirmed their familiarity with the Code.  Interviews with nine residents (seven rest home and two hospital) and six relatives (two with family at hospital level and four with family at dementia level) confirmed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There are signed general consents including outings on nine of nine resident files sampled (three rest home, three hospital, three dementia care).  Resuscitation treatment plans and advance directives are appropriately signed in the nine files reviewed.  There is evidence of family/EPOA discussion with the GP for a medically indicated not for resuscitation status.  There are copies of activated enduring power of attorney held in the three files of the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confirmed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admission agreements sighted had been signed within the required timeframe.  Discussion with family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the role of advocacy services.  Staff receive training on advocacy.  Information about accessing advocacy services information is available in the entrance foyer and includes advocacy contact details.  The information pack provided to residents at the time of entry to the service provides residents and family with advocacy information.  Advocacy support is available if requested.  Interviews with staff, residents and relatives confirmed that they were aware of advocacy services and how to access an advocate.  The complaints process includes informing the complainant of their right to contact the Health and Disability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and that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Complaints for 2015 to date were reviewed.  Verbal and written complaints are documented.  All complaints have noted investigation, timelines, corrective actions when required and resolutions.  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throughout the facility and leaflets are available in the foyer of the facility.  The service is able to provide information in different languages and/or in large print if requested.  On entry to the service, the care home manager or clinical manager discusses the Code with the resident and the family/whānau.  Information is given in the information pack to the resident, next of kin or enduring power of attorney (EPOA) to read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cares.  Residents and family members interviewed confirmed that staff promote the residents’ independence wherever possible and that residents’ choices are encouraged.  There is an abuse and neglect policy that is implemented and staff have undertaken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to help meet the cultural needs of its Māori residents.  Bupa has developed Māori Tikanga best practice guidelines.  Staff training includes cultural safety.  There were no residents living at the facility who identified as Māori during the audit.  The service has established links with local Māori advisors.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(sighted in all eight employees’ files audited).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service receives support from the Waikato District Health Board, which includes visits from specialists (eg, wound care, gerontology) and staff education and training.  Physiotherapy services are provided six hours per week.  There is a regular in-service education and training programme for staff.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Bupa has established benchmarking groups for rest home, hospital, dementia, psychogeriatric/mental health services. St Kilda is benchmarked against the rest home, dementia and hospital data. Examples were sited where results were above the benchmark; a corrective action plan was developed by the service (link 1.2.3.8).</w:t>
            </w:r>
          </w:p>
          <w:p w:rsidR="00EB7645" w:rsidRPr="00BE00C7" w:rsidP="00BE00C7">
            <w:pPr>
              <w:pStyle w:val="OutcomeDescription"/>
              <w:spacing w:before="120" w:after="120"/>
              <w:rPr>
                <w:rFonts w:cs="Arial"/>
                <w:b w:val="0"/>
                <w:lang w:eastAsia="en-NZ"/>
              </w:rPr>
            </w:pPr>
            <w:r w:rsidRPr="00BE00C7">
              <w:rPr>
                <w:rFonts w:cs="Arial"/>
                <w:b w:val="0"/>
                <w:lang w:eastAsia="en-NZ"/>
              </w:rPr>
              <w:t>The service established a Falls Focus Group. Run by the Clinical manager the Focus Group ensures that the staff have access to all recent knowledge around the falls initiatives. It has raised awareness of falls and step-by-step improvements are being made.  They commenced a new intentional rounding form that they are trialling. The form is more thorough and it is a good way of staff knowing that they need to check on more than just the residents’ whereabouts.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the care home has completed its build and is fully functional. There is a café for residents, which is well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of their responsibility to notify family/next of kin of any accident/incident and ensure full and frank open disclosure occurs.  Fifteen incidents/accidents forms were viewed.  The forms include a section to record family notification.  All 15 forms indicated family were notified.  Families interviewed confirmed they were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Kilda Care Home is part of the Bupa group of aged care facilities.  The facility is a newly purpose-built care centre within a retirement village.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80 beds.  This includes a 20-bed secure dementia unit, a 10-bed rest home and 50 hospital beds designated as dual-purpose.  The service opened on 12 January 2015.  During the audit, there were six respite residents, which included one on ACC.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Six key values are to be displayed on the entrance wall as per Bupa processes.  There is an overall Bupa business plan and risk management plan.  Additionally, St Kilda has set quality goals around occupancy, falls and pressure injuries and resident satisfaction.  Bupa has robust quality and risk management systems implemented across its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manager/RN is an experienced manager and has managed other Bupa facilities for 11 years.  A clinical manager (a registered nurse) supports the care home manager.  The operations manager, who oversees 14 sites as part of the midlands region, supports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with support from the operations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programme is in place. Interviews with managers and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including those standards relating to the Health and Disability Services (Safety) Act 2001.  A document control system is in place.  Policies are regularly reviewed.  Policies and procedures are being updated to include reference to InterRAI for an aged care service.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challenging behaviours) are collated and analysed with results communicated to staff.  Corrective actions have been implemented through April 2015 where benchmarked data exceeds targets but is missing from May 2015 onwards.</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cases where areas of non-compliance are identified, a corrective action plan is initiated and then signed off by a manager once it is implemented.  Quality and risk data is shared with staff via meetings and posting results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The facility has purchased two beds that can be lowered, and sensor mats.  A falls focus group is in place for the organisation with a facility-specific falls group being organised.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Adverse events are investigated by the clinical manager and/or registered nursing staff.  Adverse events are trended and analysed with results communicated to staff.  There is evidence to support actions are undertaken to minimise the number of incidents.  A registered nurse conducts clinical follow 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confirmed her awareness of the requirement to notify relevant authorities in relation to essential notifications.  This has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the recruitment and staff selection process.  Relevant checks are completed to validate the individual’s qualifications, experience and veracity.  Copies of practising certificates are kept.  Eight staff files were reviewed and evidenced that reference checks are completed before employment is offered.  The service has a comprehensive orientation programme in place that provides new staff with relevant information for safe work practice.  The in-service education programme for 2015 is being implemented.  Caregivers have completed an aged care education programme.  The care home manager, clinical manager and staff are able to attend external training including sessions provided by the Waikato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been open for less than one year.  Seven caregivers work in the unit and four have completed the required dementia standards.  The remaining three are enrolled.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introduced and carried out three weeks orientation one month prior to opening. This assisted in developing a strong team who not only had knowledge of Bupa policies and procedures but also embraced the fact that they would be making a difference to their success by learning through first impressions and enquiry management. The service also introduced a shortened version of this orientation programme which has been implemented at least three monthly, whenever there was a good number of staff to orientate. </w:t>
            </w:r>
          </w:p>
          <w:p w:rsidR="00EB7645" w:rsidRPr="00BE00C7" w:rsidP="00BE00C7">
            <w:pPr>
              <w:pStyle w:val="OutcomeDescription"/>
              <w:spacing w:before="120" w:after="120"/>
              <w:rPr>
                <w:rFonts w:cs="Arial"/>
                <w:b w:val="0"/>
                <w:lang w:eastAsia="en-NZ"/>
              </w:rPr>
            </w:pPr>
            <w:r w:rsidRPr="00BE00C7">
              <w:rPr>
                <w:rFonts w:cs="Arial"/>
                <w:b w:val="0"/>
                <w:lang w:eastAsia="en-NZ"/>
              </w:rPr>
              <w:t>Staff complete their initial competencies and personal best during their orientation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on to manage the care requirements of the residents.  At least one registered nurse is on site at any one time.  Activities staff are available five days a week.  Extra staff can be called on for increased residents'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into the residents’ individual record within 24 hours of entry.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caregiver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well informed upon admission.  The information pack includes all relevant aspects of service and residents and/or family/whānau are provided with associated information such as the Code, how to access advocacy and the health practitioners code.  A needs assessment is completed prior to entry, for full-time care.  There is written material included in the information pack on the service philosophy and practices, particular to the dementia care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a) – k) of the ARC contract.  All nine admission agreements sighted had been signed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guidelines for death, discharge, transfer, documentation and follow-up.  There is a transfer plan policy.  A record is kept and a copy is kept on the resident’s file.  Resident transfer information is communicated to the receiving health provider or service.  There is documented evidence of family notification of appointments and transfers.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managed appropriately in line with legislative requirements.  Registered nurses in the hospital and caregivers administer medications.  All medication competent staff have completed annual medication competencies for medication administration.  RNs have completed additional competencies for syringe driver.  Medication education was delivered during orientation and more recently by the pharmacist.  The service uses robotic roll system for regular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are current and meet the requirements for standing orders.  There were no self-medicating residents on the day of audit.  The medication fridge temperatures are checked daily and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resident medication signing sheets were sampled.  Signing sheets correspond to instructions on the medication chart.  Anti-psychotic medication management plans were in place for residents on these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sampled (six dementia care, six hospital and six rest home) were pharmacy generated, up to date and reviewed at least three monthly by the GP/NP.  There was photo identification and allergy status documented on all 18 medication charts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 external dietitian has audited and approved the national menus.  The main meal is in the evening.  All baking and meals are cooked on-site in the main kitchen.  Meals are delivered in bain-maries to each kitchenette, where they are served.  The kitchen manager receives dietary information for new residents and is notified of any dietary changes, weight loss or other dietary requirements.  Food allergies and dislikes are listed in kitchen.  Special diets such as diabetic desserts and alternative choices for dislikes are accommodated and are labelled ready for serving.  Finger foods and nutritious snacks are available in the dementia unit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daily on each meal.  Serving temperatures from bain-maries are completed weekly.  Temperatures are recorded on all chilled and frozen food deliveries.  Fridges (including facility fridges) and freezer temperatures are monitored and recorded daily.  All foods in the chiller, fridges and freezers are dated.  Cleaning schedules are maintained.  </w:t>
              <w:br/>
              <w:t xml:space="preserve">Food services staff have completed on-site food safety unit standard 167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would record the reason (eg, no bed availability or unable to meet the acuity/level of care) for declining service entry if this occurred.  The clinical manager states the service has not declined entry to any residents.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booklet on admission.  The assessment booklet provides in-depth assessment tools.  A nutritional requirements assessment is completed on admission.  Additional risk assessment tools are used as applicable.  The outcomes of risk assessments on admission and through the InterRAI assessments were reflected in the nine care plans sampled.  All residents have an InterRAI assessment completed on admission and six monthly or earlier, due to health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dementia care resident files sampled included an individual assessment for specific dementia needs that included identifying diversional, motivation and recreational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reviewed were comprehensive, demonstrated service integration, and input from allied health.  Care plans sampled described the resident’s needs, goals and supports/interventions to achieve their desired goals.  Residents and families interviewed confirm care delivery and support by staff is consistent with their expectations.  Residents and families interviewed stated that they and their family are involved in the development of the initial and long-term care plan.  There is documented evidence on the care plan and in the family contact form of family involvement in the care plan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short-term needs and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NP or specialist consultation.  Relatives state the staff are very approachable if they wish to discuss their relative’s health at any time.  Residents and relatives confirm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there are adequate continence supplies available.  Resident urinary continence assessment and bowel management has been completed for residents with identified continence problems.  The clinical manager (interviewed) states there are nursing specialists for wound and continence management readily available for advice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wound assessments and dressing plans, and ongoing evaluations at the required frequency has been completed for three wounds in the rest home (two surgical wounds and one skin tear), two residents in the dementia unit with skin tears and four minor wounds in the hospital.  One rest home resident had a heel pressure injury present on admission.  The pressure area was linked to the long-term care plan with appropriate pressure area interventions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use (sighted) include; continence diary, monthly blood pressure and weight monitoring, nutritional food and fluid monitoring record, two hourly turning charts, Iowa pain-monitoring tool and neurological observations.  Behaviour monitoring charts are commenced for any new or escalating behaviour (sighted).  The GP, NP and mental health services are readily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full-time activity coordinators.  The rest home/hospital activity coordinator has completed aged care education and the dementia unit standards.  The dementia activity coordinator had recently been involved in activities at another Bupa facility prior to commencing at St Kilda in January 2015.  Both coordinators completed a six-week induction on commencement.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programmes for the rest home/hospital and dementia care units.  The programme is delivered Monday to Friday with caregivers coordinating and supervising activities as per the weekend calendar.  There are volunteers involved in the activity programme.  The activity coordinator includes one-on-one time for residents who are unable or choose not to participate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programme includes activities that meet the needs, abilities and preferences of the resident groups.  A variety of activities was observed occurring in the lounges throughout the rest home/hospital units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with twice-weekly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separate programme for the residents in the dementia care unit accommodates group and individual activities focused around cognitive, sensory and physical activities.  There are focus points of memorabilia throughout the unit available to residents.  The residents in the dementia unit attend entertainment and activities in the rest home/hospital wings under supervision.  Care staff in the dementia care unit includes activities with residents as part of their day.  Resources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in all resident files sampled identifies activities and community links that reflect the resident’s normal patterns of life.  The activity plan (incorporated into the My Day, My Way long-term care plan) is reviewed at the same time as the care plan six-monthly multidisciplinary review.  Residents/family has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and long-term care plans were reviewed and evaluated by the registered nurse at least six monthly in seven of nine files sampled.  Two residents (hospital and dementia care) had not been at the service long enough for a review.  Six monthly multidisciplinary reviews (MDR) and meeting minutes are completed by the registered nurse with input from caregivers, the GP/NP, the activities coordinator and any other relevant person involved in the care of the resident, such as the physiotherapist.  Family members are invited to attend the MDR.  Written evaluations are documented, identifying if the resident needs/goals have been met or unmet.  Changes are made to ensure the residents current needs are reflected in the long-term care plan.  Short-term care plans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a sample group of resident files.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manager and registered nurses identified that the service has access to GPs/NP, ambulance/emergency services, allied health professionals, dietitians, physiotherapy, continence and wound specialists and social workers.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are stored safely in a locked cupboard.  Safety data sheets and product wall charts are available.  Approved sharps containers are available and meet the hazardous substances regulations for containers.  Gloves, aprons, and goggles are available for staff at the point of use.  Infection control policies state specific tasks and duties for which protective equipment be worn.  Staff were observed to be wearing appropriate personal protective clothing when carrying out their duties.  Staff have attended chemical safety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certificate for public use dated 17 December 2014.  Reactive maintenance and a 52 week planned maintenance schedule in place has been maintained.  There is a full-time maintenance person employed.  Medical equipment has been calibrated on purchase.  The hot water temperatures are monitored weekly, and are maintained between 43 – 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external areas and garden landscaping has been completed and are well maintained.  There is outdoor furniture and seating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dementia unit has two lounge areas designed so that space and seating arrangements provide for individual and group activities.  There are quiet, low stimulus areas and seating alcoves that provide privacy when required.  There is a safe and secure outside walking and garden area, which is easy for dementia residents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ensuites.  There are adequate numbers of communal toilets located near the communal areas.  There is appropriate signage, easy clean flooring and fixtures, and handrails appropriately placed.  Residents interviewed (three hospital, two rest home) report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 share an ensuite, with automatic locks to protect the resident’s privacy.  There is an emergency release button for staff to use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rest home and dual-purpose bedrooms are spacious enough to manoeuvre transferring and mobility equipment to deliver care safely and easily.  The bedroom doors are wide enough to allow ambulance access if required.  The dementia-care unit bedrooms are spacious.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spacious lounges in each of the rest home/hospital units.  Each unit has a kitchenette and open plan dining area.  The hospital dining room and lounges accommodate specialised lounge chairs.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dementia unit to allow maximum freedom of movement while promoting safety for those that wander.  There is an open plan dining/lounge area and a smaller quiet lounge available, and seating alcoves.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Kilda is the first Bupa facility to have a communal café within the care home.  The café is readily accessible to residents, family, community visitors and community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on-site.  There is a well-equipped laundry with defined clean/dirty areas and entry and exit doors.  There is a dedicated laundry person over the seven-day week.  There is dedicated cleaning staff.  Cleaning trolleys are well equipped and stored safely when not in use.  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approved by the New Zealand Fire Service on 16 December 2014.  There are emergency management plans in place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the personal and communal areas.  All communal rooms and bedrooms are well ventilated and light.  Residents and family interviewed, stated the temperature of the facility is comfortable.  There is plenty of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There is a job description for the infection control officer with clearly defined guidelines.  The quality committee and the governing body are responsible for the development of the infection control programme and its annual review.  There are monthly combined quality and risk (infection control/health and safety and quality) meetings held with a reporting process to management and governance.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adequate signage and hand sanitisers appropriately placed throughout the facility.  Visitors are asked not to enter if they have contracted or been in contact with infectious diseases.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forms part of the quality and risk meeting structure.  The facility also has access to an infection control nurse at the district health board (DHB), public health, GPs/NP, laboratory and expertise within the organisation.  The infection control officer completed a six-month course on infection control and prevention prior to her appointment at Bupa St Kilda.  The infection control officer has completed recent training related to current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the infection control team, training and education of staff.  The manual was last reviewed 2014 by the governing body in consultation with infection control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infection control officer has completed recent training relating to current best practice.  All staff receive infection control education as part of the orientation programme.  Staff are required to read policies and complete the infection control hand hygiene competency.  Staff attend annual infection control education as per the training planner.  The infection control officer provides toolbox sessions to keep staff updated/informed on infection control practice.  Resident education is expected to occur as part of providing daily cares.  Service delivery plans can include ways to assist staff in ensuring this occurs.  There is evidence of resident and visitor education around influenza and the prevention of the spread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(RN) uses the information obtained through surveillance to determine infection control activities, resources, and education needs within the facility. </w:t>
              <w:br/>
              <w:t>A monthly log of infections and short-term care plans are completed for all resident infections.  Infection control data is collated monthly and is reported at the quality and risk and staff meetings.  The surveillance of infection data assists in evaluating compliance with infection control practices, identifying trends and corrective actions/quality initiatives.  Infection control data is on display for staff.  The infection control programme is linked with the quality management programme.  The results are subsequently included in the manager’s report on quality indicators.  Benchmarking occurs against other Bupa facilities.</w:t>
              <w:br/>
              <w:t xml:space="preserve">Internal infection control audits also assist the service in evaluating infection control needs.  There is close liaison with the GPs/NP that advises and provides feedback/information to the service.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one resident with an enabler.  Enabler use is voluntary.  All necessary documentation has been completed in relation to the enabler.  Staff interviews and staff records evidence guidance has been given on restraint minimisation and safe practice (RMSP), enabler usage and prevention and/or de-escalation techniques.  Policies and procedures include definitions of restraint and enabler that are congruent with the definition in NZS 8134.0.  Staff education on RMSP/enablers has been provided.  Restraint is discussed as part of staff meetings.  The clinical manager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8"/>
        <w:gridCol w:w="1280"/>
        <w:gridCol w:w="5145"/>
        <w:gridCol w:w="2874"/>
        <w:gridCol w:w="17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corrective actions was in place where opportunities from internal audits were identified.  They were also implemented when incident data exceeded benchmarked thresholds (January – April 2015) although documented evidence of corrective actions were missing from May 2015 onwards.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relating to incident data falling above thresholds (eg, falls, medication errors, challenging behaviours) have not been documented since April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consistently documented and include evidence of their implementation.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 Kilda Care Home</w:t>
    </w:r>
    <w:bookmarkEnd w:id="58"/>
    <w:r>
      <w:rPr>
        <w:rFonts w:cs="Arial"/>
        <w:sz w:val="16"/>
        <w:szCs w:val="20"/>
      </w:rPr>
      <w:tab/>
      <w:t xml:space="preserve">Date of Audit: </w:t>
    </w:r>
    <w:bookmarkStart w:id="59" w:name="AuditStartDate1"/>
    <w:r>
      <w:rPr>
        <w:rFonts w:cs="Arial"/>
        <w:sz w:val="16"/>
        <w:szCs w:val="20"/>
      </w:rPr>
      <w:t>14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