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Taupaki Gables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Taupaki Gables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September 2015</w:t>
      </w:r>
      <w:bookmarkEnd w:id="7"/>
      <w:r w:rsidRPr="009418D4">
        <w:rPr>
          <w:rFonts w:cs="Arial"/>
        </w:rPr>
        <w:tab/>
        <w:t xml:space="preserve">End date: </w:t>
      </w:r>
      <w:bookmarkStart w:id="8" w:name="AuditEndDate"/>
      <w:r w:rsidR="00A4268A">
        <w:rPr>
          <w:rFonts w:cs="Arial"/>
        </w:rPr>
        <w:t>21 September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Since the previous audit the service has commenced providing residential disability (physical)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Taupaki Gables is part of the Radius Residential Care Group.  Taupaki Gables cares for up to 60 residents requiring hospital and rest home level care and residential disability (physical) support.  On the day of the audit, there were 59 residents.  There are no residents under the medical aspect of the contract.  </w:t>
      </w:r>
    </w:p>
    <w:p w:rsidRPr="00A4268A">
      <w:pPr>
        <w:spacing w:before="240" w:line="276" w:lineRule="auto"/>
        <w:rPr>
          <w:rFonts w:eastAsia="Calibri"/>
        </w:rPr>
      </w:pPr>
      <w:r w:rsidRPr="00A4268A">
        <w:rPr>
          <w:rFonts w:eastAsia="Calibri"/>
        </w:rPr>
        <w:t xml:space="preserve">The nurse manager is a registered nurse and has been in the role for three years.  She is supported by a clinical coordinator (an enrolled nurse) and the Radius regional manager. </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Neither the previous audit nor this audit has identified any areas requiring improvement.  The service continues to exceed the standard around quality management and the activities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nurse manager is responsible for the day-to-day operations of the facility.  Quality and risk management processes are maintained, reflecting the principals of continuous quality improvement.  Strategic plans and quality goals are documented and regularly reviewed.  Corrective action plans are implemented where opportunities for improvement are identified.  A risk management programme is in place, which includes a risk management plan, incident and accident reporting, and robust health and safety processes.  Adverse, unplanned and untoward events are responded to in an appropriate and timely manner.  Human resources are managed in accordance with good employment practice, meeting legislative requirements.  An orientation programme is in place for new staff.  The education and training programme for staff is embedded into practice.  Registered nursing cover is provided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On admission, the registered nurses complete initial assessments and risk assessment tools.  Registered nurses are responsible for care plan development with input from residents and family.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alternative systems available so that staff can use restraint as a last resort strategy.  There were three hospital level residents voluntarily using bedrails as enablers on the day of the audit.  Care plans include reference to the use of enablers.  No residents were using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Taupaki Gables has an infection control programme that complies with current best practice.  Infection control surveillance is established that is appropriate to the size and type of services.  There is a defined surveillance programme with monthly reporting by the infection control coordinator.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69"/>
        <w:gridCol w:w="1280"/>
        <w:gridCol w:w="96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accessible to residents and family.  Information about complaints is provided on admission.  Interviews with five residents (one hospital level and four rest home level) and family members confirmed their understanding of the complaints process.  Care staff interviewed (three healthcare assistants, three registered nurses and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includes verbal and written complaints, with evidence to confirm that complaints are being managed in a timely manner including acknowledgement, investigation, meeting timelines, corrective actions when required,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Twenty-one complaints received in 2015 (year to date) were managed within the required timeframes as determined by the Health and Disability Commissioner.  Complaints listed include feedback received on satisfaction surveys.  Complaints are linked to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that is not covered by the agreement.  Regular contact is maintained with family, including if an incident or care/health issues arises.  Three families (two from the hospital and one from the rest home) interviewed, stated they were kept well informed.  Fifteen incident/accident forms were reviewed and identified that the next of kin were contacted or if not, justification as to why.  Residents’ meetings are held two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access interpreter services through the Waitemata District Health Board.  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Taupaki Gables is part of the Radius Residential Care Group.  Taupaki Gables cares for up to 60 residents requiring hospital and rest home level care and residential disability (physical) support.  All rooms can be used for either hospital or rest home level care.  On the day of the audit, there were 16 rest home level residents and 43 hospital residents.  This included four residents on young persons with disabilities contracts, two on long-term chronic conditions contracts and one resident under 65 years old on an Accident Compensation Corporation contract.  There are no residents under the medical aspect of the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Taupaki Gables business plan April 2014 to March 2017 is linked to the Radius Care Group strategies and business plan targets.  The mission statement is included in information given to new residents.  An organisational chart is in place.  Comprehensive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been in the role for three years, having been the clinical manager in the service for eight years prior to that.  She is a registered nurse and is supported in the management role by a regional manager and the clinical coordinator/enrolled nurse (EN).</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robust quality and risk management system is in place.  Policies and procedures reflect evidence of regular reviews as per the document control schedule.  New and/or revised policies are made available for staff to read and sign that they have read and understand the changes.  Policies and procedures have been updated to reflect the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collation of quality and risk data includes monitoring clinical effectiveness, work effectiveness, risk management/falls, and consumer participation.  Data is collated and benchmarked against other Radius facilities.  A resident satisfaction survey is conducted each year.  Results for 2015 reflected high levels of resident satisfaction with the services received.  An annual internal audit schedule confirmed audits are being completed as per the schedule.  Corrective actions are developed where opportunities for improvements are identified.  There is evidence of corrective actions being communicated to all staff and regularly evaluated.  They are signed off by management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Quality initiatives reflect a culture of continuous quality improvement.  Systems are in place to measure outcomes and evaluate progress, achieving a continued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Falls reduction strategies include staff knowing the residents who are at risk, managing challenging behaviours effectively, adhering to residents’ routines and anticipating their needs, and intentional rounding with frequencies determined by the resident’s risks of falling.  All healthcare assistants utilise transfer belts to minimise resident harm from falls.</w:t>
            </w:r>
          </w:p>
          <w:p w:rsidR="00EB7645" w:rsidRPr="00BE00C7" w:rsidP="00BE00C7">
            <w:pPr>
              <w:pStyle w:val="OutcomeDescription"/>
              <w:spacing w:before="120" w:after="120"/>
              <w:rPr>
                <w:rFonts w:cs="Arial"/>
                <w:b w:val="0"/>
                <w:lang w:eastAsia="en-NZ"/>
              </w:rPr>
            </w:pPr>
            <w:r w:rsidRPr="00BE00C7">
              <w:rPr>
                <w:rFonts w:cs="Arial"/>
                <w:b w:val="0"/>
                <w:lang w:eastAsia="en-NZ"/>
              </w:rPr>
              <w:t>Processes are in place for accident and incident reporting, injury prevention and management, workplace inspections, and hazard management.  The facility has achieved tertiary level ACC Workplace Safety Management Practice (WSMP).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This includes the collection of incident and accident information.  The reporting system is integrated into the quality and risk management programme.  Once incidents and accidents are reported, the immediate actions taken are documented on incident forms.  The incidents forms are then reviewed and investigated by the registered nurse.  If risks are identified these are processed as hazards using a hazard identification form.  Accidents and incidents are firmly embedded into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discussion with the nurse manager has confirmed her awareness of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health professionals are current.  Five staff files were reviewed.  Evidence of signed employment contracts, job descriptions, orientation, and training were available for sighting.  Annual performance appraisals for staff were completed in files sampled.  Newly appointed staff complete an orientation that is specific to their job duties.  Interviews with care staff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All staff completes a range of competency assessments.  Ten of thirty healthcare assistants have achieved their Aged Care Education ACE) advanced qualification and five have achieved their ACE foundation qualification.  Three of nine registered nurses have completed their InterRAI training, two are completing their final InterRAI assessment and one RN begins her training in one week.  All registered nurses have current first aid/CPR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nurse manager is a registered nurse and the clinical coordinator is an enrolled nurse.  Nine permanent staff (RNs) and one casual staff (RN) are employed.  A minimum of one staff RN is scheduled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was appropriate and safe.  All families interviewed advised that they felt there was sufficient staffing.  The roster is able to be changed in response to resident acuity.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RN checks medications against the doctor’s medication profile on arrival from the pharmacy.  Any mistakes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Designated staff are listed on the medication competency register which shows signatures/initials to identify the administering staff member.  Two registered nurses were observed safely and correctly administrating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are identified with demographic details and photographs.  The fridges that medications are kept in have daily temperature checks.  All 10 medication charts had allergies (or nil known), documented. </w:t>
            </w:r>
          </w:p>
          <w:p w:rsidR="00EB7645" w:rsidRPr="00BE00C7" w:rsidP="00BE00C7">
            <w:pPr>
              <w:pStyle w:val="OutcomeDescription"/>
              <w:spacing w:before="120" w:after="120"/>
              <w:rPr>
                <w:rFonts w:cs="Arial"/>
                <w:b w:val="0"/>
                <w:lang w:eastAsia="en-NZ"/>
              </w:rPr>
            </w:pPr>
            <w:r w:rsidRPr="00BE00C7">
              <w:rPr>
                <w:rFonts w:cs="Arial"/>
                <w:b w:val="0"/>
                <w:lang w:eastAsia="en-NZ"/>
              </w:rPr>
              <w:t>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self-administers medication.  A competency assessment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Seven of eight medication charts reviewed (one resident had been at the service less than three months), identified that the GP had reviewed the resident three monthly and the medication chart was signed.  All 10 medication charts indicate medication is being administered as prescribed.  All medication charts document the indication for giving the PRN medication.  All eye drops were dated on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and the equipment are well maintained.  The service employs sufficient kitchen staff to provide meal services over seven days a week.  There is a rotating four weekly menu in place that is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is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spoke positively about meals provided and they all stated that staff asks them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 checking of food in both the fridge and freezers to ensure it is disposed of when use by date expires.  All food is stored and handled safely.  Food temperatures are recorded.  The kitchen is clean.</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r w:rsidRPr="00BE00C7">
              <w:rPr>
                <w:rFonts w:cs="Arial"/>
                <w:b w:val="0"/>
                <w:lang w:eastAsia="en-NZ"/>
              </w:rPr>
              <w:t>The service caters for the needs of younger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infection control plans, diabetes specific plans, fluid balance management plans and pain management plans were evident.  The use of short-term care plans was evident.  In all files sampled, the residents are receiving care that meets all their needs.  The GP interviewed stated the facility applied changes of care advice immediately and was complementary about the quality of service delivery provided.  Residents' needs are assessed prior to admission and resident’s primary care is provided by the facility GPs unless the resident chooses another GP.</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is available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four residents including three pressure injuries (two grade one and one grade two).  There is evidence in files of the wound specialist referrals.  Wound care is completed within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activity officers work in the facility across all service levels.  All recreation/activities assessments and reviews are up to date.  On the day of audit, residents were observed being actively involved with a variety of activities in the main lounge and throughout the facility.  Residents have a comprehensive assessment completed over the first few weeks after admission obtaining a complete history of past and present interests, career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(including to meet the needs of younger residents) and have been comprehensively planned.  Activities provided are meaningful and reflect ordinary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reviewed identified that the individual activity plan is reviewed at the time of the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continues to exceed the required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evaluated at least six monthly or earlier if there is a change in health status.  There is at least a three monthly review by the GP.  All changes in health status is documented and followed up.  An RN signs care plan reviews.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date 17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including urinary tract, upper respiratory and skin.  This data is reported to the facility meetings.  Monthly data was seen in staff areas.  The service submits data monthly to Radius head office where benchmarking is completed.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regarded as a last intervention, when all other interventions or calming/defusing strategies, have not worked.  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with enablers in the form of bed rails in the hospital.  The residents requested these.  The assessment process ensures enablers are voluntary and the least restrictive option.  This was evident in review of one of the files of a resident using an enabler.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restraints.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547"/>
        <w:gridCol w:w="82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all quality improvement data, quality initiative projects and outcome reports show that Radius Taupaki Gables has continued to make significant improvements to the facility, staffing and to outcomes for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A range of data relating to complaints, incidents, accidents, health and safety, risk management and internal audit reports is used to improve the service.  Projects are undertaken where opportunities for improvements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Meetings are held at regular intervals to communicate quality initiatives and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Radius Taupaki business plan occurs quarterly with sustained compliance of the facility health checks (no partial attainments), low number of residents’ falls (falls rate reduced from 122 falls in the first quarter 2014 to 76 falls first quarter 2015), and no use of restraint since July 2012.  Annual resident/family satisfaction surveys reflect sustained high levels of resident and family satisfaction with the services received.  Occupancy rates average 95.6%, which is slightly above target.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improvements for residents include the following: i) A focus on development of the leadership skills of the management staff.  The nurse manager gained tools, support, coaching and mentorship.  This in turn has led to sharing of the ideals of collaboration, communication and cooperation of staff.  General staff meetings were changed to staff forums, which changed the focus to partnership and collaboration, sharing of ideas, and staff having more of a voice.  Interviews with staff reflect high morale with staff reporting that they feel engaged and that managers carefully consider their opinions.  ii) The service continues to involve residents in the planning of food services.  Satisfaction surveys reflect that there are no residents dissatisfied with food services and 88% either very satisfied or quite satisfied.  iii)  There is an improved activities programme that is more resident focused and includes such initiatives as the recent addition of a men’s shed where currently the men are actively involved in constructing bird houses (link 1.3.7.1),  iv) Continuation of a support group for spouses and family members.  There are a range of specialists invited to speak to the group.  v) Animal therapy is encouraged with pets in the service that normalises life for the residents.  The service is based in a rural setting and includes visits from a range of animals vi) There are referrals to clinical specialists, for example, wound nurse specialists visit fortnightly depending on need, the dietician visits monthly and as needed, there is a gerontology nurse practitioner who visits weekly alternating with the GP.  The GP reports that ‘she is just as good as a GP,’ vii) continued engagement for residents in the community.  The service sponsors a number of the local community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employed by the service has worked at Taupaki Gables for two months.  She works full time over five days.  An activities assistant works six hours a day, five days a week.  All recreation/activities assessments and reviews are up to date.  On the day of audit, residents were observed being actively involved with a variety of activities in the lounges.  Residents have a comprehensive assessment completed over the first few weeks after admission, obtaining a complete history of past and present interests, career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and have been comprehensively planned.  Activities provided are meaningful and reflect ordinary patterns of life.  Activities include pet visits, games, walking groups, concerts, entertainers, coffee club, movies, exercises and outings.  There are also visits from community groups. </w:t>
            </w:r>
          </w:p>
          <w:p w:rsidR="00EB7645" w:rsidRPr="00BE00C7" w:rsidP="00BE00C7">
            <w:pPr>
              <w:pStyle w:val="OutcomeDescription"/>
              <w:spacing w:before="120" w:after="120"/>
              <w:rPr>
                <w:rFonts w:cs="Arial"/>
                <w:b w:val="0"/>
                <w:lang w:eastAsia="en-NZ"/>
              </w:rPr>
            </w:pPr>
            <w:r w:rsidRPr="00BE00C7">
              <w:rPr>
                <w:rFonts w:cs="Arial"/>
                <w:b w:val="0"/>
                <w:lang w:eastAsia="en-NZ"/>
              </w:rPr>
              <w:t>All three family members interviewed stated that activities are appropriate and varied enough for the residents.  All five residents interviewed stated they were happy with the activities available and are given a choice regarding attendance.</w:t>
            </w:r>
          </w:p>
          <w:p w:rsidR="00EB7645" w:rsidRPr="00BE00C7" w:rsidP="00BE00C7">
            <w:pPr>
              <w:pStyle w:val="OutcomeDescription"/>
              <w:spacing w:before="120" w:after="120"/>
              <w:rPr>
                <w:rFonts w:cs="Arial"/>
                <w:b w:val="0"/>
                <w:lang w:eastAsia="en-NZ"/>
              </w:rPr>
            </w:pPr>
            <w:r w:rsidRPr="00BE00C7">
              <w:rPr>
                <w:rFonts w:cs="Arial"/>
                <w:b w:val="0"/>
                <w:lang w:eastAsia="en-NZ"/>
              </w:rPr>
              <w:t>Five resident files reviewed identified that the individual activity plan is reviewed at the time of the care plan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continues to have monthly family support group meetings facilitated by the nurse manager.  Topics for discussion include advanced care planning, grief, physiotherapy and culture (minutes viewed).  Family members of deceased residents are also made welcome at the meetings and the nurse manager reported that many family members of previous residents continue to attend.  Different specialist speakers are invited to give a presentation to the group.  The facility has a monthly men’s group meeting.  More recently this has resulted in the development of a men’s shed which is on a sheltered outdoor deck and where men can engage in woodworking or simply ‘pottering’ with tools.  The men are currently constructing bird feeders to give as Christmas gifts or sell at the planned market day.  Two male residents interviewed that attend meetings and use the men’s shed, stated that the provisions for male residents were excellent and they enjoyed them.  There is a women’s coffee club once a month.  The facility keeps chickens and residents take responsibility to feed them and collect eggs.  Residents identified they would like to attend a pub quiz but the evening running of the local pub quiz was too late for residents.  Instead, the weekly quiz (which was previously attended by around six residents and is now regularly attended by 20 residents) is now run in a pub quiz format with team and a combination of audio and visual questions.  A ‘pub quiz’ is also run during the monthly happy hour.  All five residents interviewed were happy with the content and variety of activities provided.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Taupaki Gables</w:t>
    </w:r>
    <w:bookmarkEnd w:id="58"/>
    <w:r>
      <w:rPr>
        <w:rFonts w:cs="Arial"/>
        <w:sz w:val="16"/>
        <w:szCs w:val="20"/>
      </w:rPr>
      <w:tab/>
      <w:t xml:space="preserve">Date of Audit: </w:t>
    </w:r>
    <w:bookmarkStart w:id="59" w:name="AuditStartDate1"/>
    <w:r>
      <w:rPr>
        <w:rFonts w:cs="Arial"/>
        <w:sz w:val="16"/>
        <w:szCs w:val="20"/>
      </w:rPr>
      <w:t>21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