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St Johns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Johns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September 2015</w:t>
      </w:r>
      <w:bookmarkEnd w:id="7"/>
      <w:r w:rsidRPr="009418D4">
        <w:rPr>
          <w:rFonts w:cs="Arial"/>
        </w:rPr>
        <w:tab/>
        <w:t xml:space="preserve">End date: </w:t>
      </w:r>
      <w:bookmarkStart w:id="8" w:name="AuditEndDate"/>
      <w:r w:rsidR="00A4268A">
        <w:rPr>
          <w:rFonts w:cs="Arial"/>
        </w:rPr>
        <w:t>15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St John’s Hospital is owned and operated by the CHT Healthcare Trust and cares for up to 70 residents requiring hospital level and residential disability (physical) care.  On the day of the audit, there were 65 residents.  The service is overseen by a unit manager, who is well qualified and experienced for the role and is supported by a clinical coordinator and the area manager.  Residents and the GP interviewed spoke positively about the service provided.</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br/>
        <w:t>This audit has not identified any areas requiring improvement.  The service has exceeded the required standard around implementation of the pillars of care, good practice and the service provided to residents at risk of weight loss.</w:t>
        <w:tab/>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St John’s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The unit manager is a registered nurse and an area manager, a clinical coordinator, registered nurses and healthcare staff support her.  The quality and risk management programme includes service philosophy, goals and a quality planner.  Quality activities are conducted and this generates improvements in practice and service delivery.  Meetings are held to discuss quality and risk management processes.  Residents meetings have been held and residents and families are surveyed annually.  Health and safety policies, systems and processes are implemented to manage risk.  Incidents and accidents are reported and followed through.  A comprehensive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Primarily the clinical coordinator manages entry to the service with assistance from the registered nurses.  Comprehensive service information is available.  Initial assessments are completed by a registered nurse, including InterRAI assessments.  The registered nurses complete care plans and evaluations within the required timeframe.  Care plans are based on the InterRAI findings and other assessments.  They are clearly written and healthcare assistants report they are easy to follow.  Residents interviewed confirmed they were involved in the care planning and review process.  Each resident has access to an individual and group activities programme.  The group programme is varied and interesting.  Medicines are stored and managed appropriately in line with legislation and guidelines.  General practitioners review residents at least three monthly or more frequently if needed.  Meals are prepared on site by a contracted agency under the direction of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The facility is divided into eight suites, each with eight to ten residents.  All bedrooms are single occupancy and have their own ensuite.  There is sufficient space to allow the movement of residents around the facility using mobility aids.  There is an open plan lounge and dining area in each of the eight suites.  The internal areas are able to be ventilated and heated.  The outdoor areas are safe and easily accessible.  Cleaning contractors and maintenance staff are providing appropriate services.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 John’s hospital has restraint minimisation and safe practice policies and procedures in place.  Staff receive training in restraint minimisation and challenging behaviour management.  On the day of audit, there were six residents with restraint and three residents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14"/>
        <w:gridCol w:w="1280"/>
        <w:gridCol w:w="95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(six healthcare assistants, two registered nurses (RN), one clinical coordinator, one area manager and one unit manager) confirm their familiarity with the Code.  Interviews with nine residents including three under 65 years old confirm the services being provided are in line with the Code.  The Code is discussed at resident and staff/quality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Advanced directives are signed for separately.  There is evidence of discussion with family when the GP has completed a clinically indicated not for resuscitation order.  Health care assistants and registered nurses interviewed confirmed verbal consent is obtained when delivering care.  Family members are involved in decisions that affect their relative’s lives.  All nine of nine resident files sampled had a signed admission agreement signed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complaints form available.  Information about complaints is provided on admission.  Interview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Verbal and written complaints are documented.  There have been 20 complaints in 2015 (year to date), six complaint forms were reviewed.  All six complaints reviewed had noted investigation, timeframes, corrective actions when required and resolutions were in place if required.  Results are fed back to complainants.  Discussions with residents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of rights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unit manager discusses the information pack with the resident and the family/whānau. Information pack incudes a copy of the Code of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Church services are conducted in the facility fortnightly.  All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No residents identified as Māori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br/>
              <w:t>Information gathered during assessment including residents cultural beliefs and values, is used to develop a care plan, which the resident (if appropriate) and/or their family/whānau are asked to consult on.  Staff receive training on cultural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and residential disability needs.  Staffing policies include pre-employment and the requirement to attend orientation and ongoing in-service training.  The resident satisfaction survey reflects high levels of satisfaction with the services that are provided.  Residents interviewed spoke very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standard around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incidents/accidents forms were reviewed.  The forms included a section to record family notification.  All ten forms indicated family were informed or if family did not wish to be informed.  Residents interviewed confirmed that relatives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John’s Hospital is owned and operated by the CHT Healthcare Trust.  The service provides residential disability and hospital level care for up to 70 residents.  On the day of the audit, there were 65 residents.  This includes six residents on younger persons with disability contracts and two on palliative care contracts.  The unit manager is a registered nurse and maintains an annual practicing certificate.  She has been with CHT Healthcare Trust for nine years and has been in the manager role since October 2005.  The clinical coordinator has been in the role since November 2005.  The unit manager reports to the area manager weekly on a variety of operational issues.  CHT has an overall business/strategic plan and St John’s Hospital and Rest Home has a facility quality and risk management programme in place for the current year.  The organisation has a philosophy of care, which includes a mission statement.  The unit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standard around implementation of the Pillars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area manager is in charge with support from the senior management team, the clinical coordinator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St John’s Hospital and Rest Home.  Interviews with staff confirmed that quality data is discussed at monthly staff (Fonu) meetings to which all staff are invited.  The unit manager advised that she is responsible for providing oversight of the quality programme.  The quality and risk management programme is designed to monitor contractual and standards compliance.  The service's policies are reviewed at national level, with input from facility staff every two years.  New/updated policies are sent from head office, with a draft policy including InterRAI assessment requirements.  Staff have access to manuals.  Resident/relative meetings are held quarterly.  Restraint and enabler use is reported within the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manager and clinical coordinator investigate accidents and near misses and analysis of incident trends occurs.  There is a discussion of incidents/accidents at monthly quality meetings including actions to minimise recurrence.  A registered nurse conducts clinical follow up of residents.  Discussions with the unit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A copy of practising certificates is kept.  Eight staff files were reviewed and evidence that reference checks were completed before employment is offered. The service has a comprehensive orientation programme in place that provides new staff with relevant information for safe work practice.  The in-service education programme for 2014 has been completed and a plan for 2015 is being implemented.  Sixty five percent of healthcare assistants have completed an aged care education programme including the dementia modules.  The unit manager and registered nurses are able to attend external training, including sessions provided by the local DHB.  Seven of the nine registered nurses have completed InterRAI training.  Three of these seven have been due to attend refresher courses and have attended these. Annual staff appraisals were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policy includes staff rationale and skill mix.  Sufficient staff are rostered on to manage the care requirements of the residents.  At least one registered nurse on at any one time.  A Lead R/N on each shift is aware that extra staff can be called on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healthcare assistant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manager screens all potential residents prior to entry and records all admission enquires in a hard copy system.  Residents interviewed confirmed they received information prior to admission and had the opportunity to discuss the admission agreement with the manager and clinical coordinator.  The admission agreement form in use aligns with the requirements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(yellow) aged care envelope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Resident’s medicines are stored securely in each resident’s room.  Medication administration practice complies with the medication management policy for the medication rounds sighted.  Medication prescribed is signed as administered on the pharmacy generated signing chart.  Registered nurses typically administer medicines although on occasion’s medicines competent healthcare assistants may assist.  All staff that administer medicines are competent and have received medication management training.  The facility uses a robotically packed medication management system for the packaging of all tablets.  The RN on duty reconciles the delivery and documents this.  Medical practitioners write medication charts correctly and there was evidence of three monthly reviews by the GP.  One resident self-administers their own medicines and the documentation was correctly recorded and a competency assessment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 site by contracted kitchen staff.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require special diets and the kitchen manager works closely with the RNs on duty.  The kitchen staff have completed food safety training.  The kitchen manager and cooks follow a rotating seasonal menu, which has been reviewed in December 2014 by an external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The service has exceeded the standard around meeting the specific dietary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decision to residents/family/whānau and the referring agency.  Anyone declined entry is referred back to the referring agency for appropriate placement and advice.  Information on alternate placement options is given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Appropriate assessment tools were completed and assessments were reviewed at least six monthly or when there was a change to a resident’s health condition in files sampled.  The InterRAI assessment tool is implemented.  InterRAI assessments have been completed for all residents.  Care plans are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and identified allied health involvement under a comprehensive range of template headings.  The InterRAI assessment process informs the development of the resident’s care plan.  Residents and their family/whānau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(including the clinical coordinator) and HCAs, follow the care plan and report progress against the care plan each shift at handover.  If external nursing or allied health advice is required, the RNs will initiate a referral (eg, to the district nurse [hospice nurse], or Huntington’s chorea Society nurse or the mental health nurses).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residents with seven wounds, which includes one resident with a stage two (recent) pressure area.  All wounds have been reviewed in appropriate timeframes.  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the clinical coordinator and HCAs demonstrated an understanding of the individualised needs of residents.  Care plan interventions demonstrate interventions to meet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activities coordinators are employed part-time to operate the activities programme for all residents.  The programme operates seven days a week.  Each resident has an individual activities assessment on admission, which is incorporated into the InterRAI assessment process.  An individual activities plan is developed for each resident by the activities coordinators in consultation with the registered nurses.  Each resident is free to choose whether they wish to participate in the group activities programme or their individual plan.  Participation is monitored.  Group activities reflect ordinary patterns of life and include planned visits to the community.  All long-term resident files sampled have a recent activities plan within the care plan and this is appraised at least six monthly when the care plan is evaluated or a further InterRAI assessment occurs.  Residents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The long-term care plan is evaluated at least six monthly or earlier if there is a change in health status.  There is at least a three monthly review by the GP.  All changes in health status are documented and followed up.  Reassessments have been completed using InterRAI LTCF for all residents who have had a significant change in health status since 1 July 2015.  The RN completing the plan signs care plan reviews.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There is a maintenance person employed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External areas are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All bedrooms have their own ensuites.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an open plan lounge and dining area in each of the eight to ten bed suites.  These are large enough to cater for activities involving residents from other suites.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Contracted cleaning staff clean the facility.  They have access to a range of chemicals, cleaning equipment and protective clothing.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off site.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John’s hospital has an established infection control programme.  The infection control programme, its content and detail, is appropriate for the size, complexity and degree of risk associated with the service.  It is linked into the incident reporting system.  The clinical coordinator (a registered nurse) is the designated infection control coordinator with support from the unit manager, the clinical coordinator and all staff as the quality management committee (infection control team).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St John’s hospital is the designated infection control (IC) coordinator.  There are adequate resources to implement the infection control programme for the size and complexity of the organisation.  The IC nurse and IC team (comprising all staff)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quality meetings.  If there is an emergent issue, it is acted 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six residents with restraint and three residents with an enabler.  Enabler use is voluntary.  All necessary documentation has been completed in relation to the restraints.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Restraint has been discussed as part of quality meetings.  A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Assessment and approval process for restraint use included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three restraint and two enabler files sampled.  The restraint coordinator, the resident and/or their representative and a medical practitioner were involved in the assessment and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 met..  There is an assessment form/process that is completed for all restraints and enablers.  The files reviewed had a completed assessment form and a care plan that reflected risk.  Monitoring forms that included regular monitoring at the frequency determined by the risk level were present in the files reviewed.  In resident files reviewed, appropriate documentation has been completed.  The service has a restraint and enablers register which is up 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and restraint coordinator.  Restraint practices are reviewed on a formal basis every month by the facility restraint coordinator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three monthly or sooner if a need is identified.  Reviews are completed by the restraint coordinator.  Any adverse outcomes are reported at the monthly quality and health and safety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1703"/>
        <w:gridCol w:w="95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variety of mechanisms used to provide a good practice environment.  The area manager reported that learning’s are shared across the CHT organisation.  When interviewed, the unit manager reported using these learning’s and being aware that St John’s is a standalone hospital which provides different challenges than those of the other services in the organisation.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standard by providing an environment and service that has best practice initiatives.  Examples of this include the falls project, which has resulted in a significant reduction in the number of falls at the facility (link 1.2.1.1).</w:t>
            </w:r>
          </w:p>
          <w:p w:rsidR="00EB7645" w:rsidRPr="00BE00C7" w:rsidP="00BE00C7">
            <w:pPr>
              <w:pStyle w:val="OutcomeDescription"/>
              <w:spacing w:before="120" w:after="120"/>
              <w:rPr>
                <w:rFonts w:cs="Arial"/>
                <w:b w:val="0"/>
                <w:lang w:eastAsia="en-NZ"/>
              </w:rPr>
            </w:pPr>
            <w:r w:rsidRPr="00BE00C7">
              <w:rPr>
                <w:rFonts w:cs="Arial"/>
                <w:b w:val="0"/>
                <w:lang w:eastAsia="en-NZ"/>
              </w:rPr>
              <w:t>In 2013, staff and management at St John’s recognised there were significant numbers of residents admitted for end of life care to CHT St Johns, and were determined to provide the very highest standard of care to residents and their families at the end of residents’ lives.</w:t>
            </w:r>
          </w:p>
          <w:p w:rsidR="00EB7645" w:rsidRPr="00BE00C7" w:rsidP="00BE00C7">
            <w:pPr>
              <w:pStyle w:val="OutcomeDescription"/>
              <w:spacing w:before="120" w:after="120"/>
              <w:rPr>
                <w:rFonts w:cs="Arial"/>
                <w:b w:val="0"/>
                <w:lang w:eastAsia="en-NZ"/>
              </w:rPr>
            </w:pPr>
            <w:r w:rsidRPr="00BE00C7">
              <w:rPr>
                <w:rFonts w:cs="Arial"/>
                <w:b w:val="0"/>
                <w:lang w:eastAsia="en-NZ"/>
              </w:rPr>
              <w:t>Both DHB and hospice continued to refer their clients on for this purpose and the gradual aging and decline of longer-term residents supported a need to look at the LDL programme as a pivotal one for staff and residents and their families.</w:t>
            </w:r>
          </w:p>
          <w:p w:rsidR="00EB7645" w:rsidRPr="00BE00C7" w:rsidP="00BE00C7">
            <w:pPr>
              <w:pStyle w:val="OutcomeDescription"/>
              <w:spacing w:before="120" w:after="120"/>
              <w:rPr>
                <w:rFonts w:cs="Arial"/>
                <w:b w:val="0"/>
                <w:lang w:eastAsia="en-NZ"/>
              </w:rPr>
            </w:pPr>
            <w:r w:rsidRPr="00BE00C7">
              <w:rPr>
                <w:rFonts w:cs="Arial"/>
                <w:b w:val="0"/>
                <w:lang w:eastAsia="en-NZ"/>
              </w:rPr>
              <w:t>Mercy Hospice and St Johns have had a long-standing relationship in which residents have had admission from either Mercy Hospice, or the community through referrals from the team at Mercy Hospice.</w:t>
            </w:r>
          </w:p>
          <w:p w:rsidR="00EB7645" w:rsidRPr="00BE00C7" w:rsidP="00BE00C7">
            <w:pPr>
              <w:pStyle w:val="OutcomeDescription"/>
              <w:spacing w:before="120" w:after="120"/>
              <w:rPr>
                <w:rFonts w:cs="Arial"/>
                <w:b w:val="0"/>
                <w:lang w:eastAsia="en-NZ"/>
              </w:rPr>
            </w:pPr>
            <w:r w:rsidRPr="00BE00C7">
              <w:rPr>
                <w:rFonts w:cs="Arial"/>
                <w:b w:val="0"/>
                <w:lang w:eastAsia="en-NZ"/>
              </w:rPr>
              <w:t>Hospice Community registered nurses visit St John’s each week (sometimes twice a week), to provide social and other support to their clients and by default they are very present for the support of the registered nurse team.</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worked closely with the Auckland District Health Board (ADHB), who developed an initiative for the management of palliative care clients, communicated this to the sector through cluster meetings, and asked for participants in this initiative.  St Johns volunteered to take up this programme, this was initially called the Liverpool care pathways (LCP), and the ADHB provided training and resources to manage and monitor this roll out.  Each facility, including St John’s had LCP training with the ADHB support team.  Regular reviews are carried out with the DHB to monitor the effectiveness of this programme.  CHT ensured this was adopted across the Trust, including St John’s in 2013.  A CHT Link Nurse was nominated for each site with St John’s having two champions, who together cover seven days per week and both morning and night shifts.</w:t>
            </w:r>
          </w:p>
          <w:p w:rsidR="00EB7645" w:rsidRPr="00BE00C7" w:rsidP="00BE00C7">
            <w:pPr>
              <w:pStyle w:val="OutcomeDescription"/>
              <w:spacing w:before="120" w:after="120"/>
              <w:rPr>
                <w:rFonts w:cs="Arial"/>
                <w:b w:val="0"/>
                <w:lang w:eastAsia="en-NZ"/>
              </w:rPr>
            </w:pPr>
            <w:r w:rsidRPr="00BE00C7">
              <w:rPr>
                <w:rFonts w:cs="Arial"/>
                <w:b w:val="0"/>
                <w:lang w:eastAsia="en-NZ"/>
              </w:rPr>
              <w:t>At the end of 2014, ADHB amended the programme from LCP to last days of life (LDL).  CHT, including St John’s has modified process and policy according to the recommended changes.  All resources and documentation of the CHT quality system can be printed. The implementation and review of the LDL programme highlighted a number of factors that enabled staff within the unit to provide a more focussed and specific level of care to going through end of life.  A decision was made to increase training across St John’s for both registered staff and health care assistants in palliative care, LDL and death and dying/grief management.  To ensure all areas &amp; shifts were adequately covered, a full time night RN was sent to hospice &amp; LDL training.  Currently all RNs at St John’s have had training in this area and have annual updates.  Sixty percent of the HCAs have completed training to date.  CHT has developed a series of brochures and handouts including relative/carer information around LDL, why residents on LDL do not always eat, what to expect when someone is dying and coping with bereavement.</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interviewed and review of meeting minutes highlighted benefits as follows:</w:t>
            </w:r>
          </w:p>
          <w:p w:rsidR="00EB7645" w:rsidRPr="00BE00C7" w:rsidP="00BE00C7">
            <w:pPr>
              <w:pStyle w:val="OutcomeDescription"/>
              <w:spacing w:before="120" w:after="120"/>
              <w:rPr>
                <w:rFonts w:cs="Arial"/>
                <w:b w:val="0"/>
                <w:lang w:eastAsia="en-NZ"/>
              </w:rPr>
            </w:pPr>
            <w:r w:rsidRPr="00BE00C7">
              <w:rPr>
                <w:rFonts w:cs="Arial"/>
                <w:b w:val="0"/>
                <w:lang w:eastAsia="en-NZ"/>
              </w:rPr>
              <w:t>•</w:t>
              <w:tab/>
              <w:t>The GP &amp; RN make a joint decision on when to set up the programme.</w:t>
            </w:r>
          </w:p>
          <w:p w:rsidR="00EB7645" w:rsidRPr="00BE00C7" w:rsidP="00BE00C7">
            <w:pPr>
              <w:pStyle w:val="OutcomeDescription"/>
              <w:spacing w:before="120" w:after="120"/>
              <w:rPr>
                <w:rFonts w:cs="Arial"/>
                <w:b w:val="0"/>
                <w:lang w:eastAsia="en-NZ"/>
              </w:rPr>
            </w:pPr>
            <w:r w:rsidRPr="00BE00C7">
              <w:rPr>
                <w:rFonts w:cs="Arial"/>
                <w:b w:val="0"/>
                <w:lang w:eastAsia="en-NZ"/>
              </w:rPr>
              <w:t>•</w:t>
              <w:tab/>
              <w:t>GP provides outline of medications for individual residents.</w:t>
            </w:r>
          </w:p>
          <w:p w:rsidR="00EB7645" w:rsidRPr="00BE00C7" w:rsidP="00BE00C7">
            <w:pPr>
              <w:pStyle w:val="OutcomeDescription"/>
              <w:spacing w:before="120" w:after="120"/>
              <w:rPr>
                <w:rFonts w:cs="Arial"/>
                <w:b w:val="0"/>
                <w:lang w:eastAsia="en-NZ"/>
              </w:rPr>
            </w:pPr>
            <w:r w:rsidRPr="00BE00C7">
              <w:rPr>
                <w:rFonts w:cs="Arial"/>
                <w:b w:val="0"/>
                <w:lang w:eastAsia="en-NZ"/>
              </w:rPr>
              <w:t>•</w:t>
              <w:tab/>
              <w:t>St John’s has imprest stock of ‘as required’ medication on hand.</w:t>
            </w:r>
          </w:p>
          <w:p w:rsidR="00EB7645" w:rsidRPr="00BE00C7" w:rsidP="00BE00C7">
            <w:pPr>
              <w:pStyle w:val="OutcomeDescription"/>
              <w:spacing w:before="120" w:after="120"/>
              <w:rPr>
                <w:rFonts w:cs="Arial"/>
                <w:b w:val="0"/>
                <w:lang w:eastAsia="en-NZ"/>
              </w:rPr>
            </w:pPr>
            <w:r w:rsidRPr="00BE00C7">
              <w:rPr>
                <w:rFonts w:cs="Arial"/>
                <w:b w:val="0"/>
                <w:lang w:eastAsia="en-NZ"/>
              </w:rPr>
              <w:t>•</w:t>
              <w:tab/>
              <w:t>An RN can implement an LDL plan at any time or stage to meet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w:t>
              <w:tab/>
              <w:t>The GP outline includes breakthrough and varied doses, which enable RNs to access and tailor to meet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w:t>
              <w:tab/>
              <w:t>Training and support from hospice has been excellent.</w:t>
            </w:r>
          </w:p>
          <w:p w:rsidR="00EB7645" w:rsidRPr="00BE00C7" w:rsidP="00BE00C7">
            <w:pPr>
              <w:pStyle w:val="OutcomeDescription"/>
              <w:spacing w:before="120" w:after="120"/>
              <w:rPr>
                <w:rFonts w:cs="Arial"/>
                <w:b w:val="0"/>
                <w:lang w:eastAsia="en-NZ"/>
              </w:rPr>
            </w:pPr>
            <w:r w:rsidRPr="00BE00C7">
              <w:rPr>
                <w:rFonts w:cs="Arial"/>
                <w:b w:val="0"/>
                <w:lang w:eastAsia="en-NZ"/>
              </w:rPr>
              <w:t>The DHB and the hospice each provide formal annual feedback and this has been used to make changes to practice and to highlight areas for improvement.  Areas around which plans to improve have been developed from this feedback includes further staff training, which has occurred in 2015 and a decision was made to have three rather than two Niki T Syringe Drivers to support pain management effectively.</w:t>
            </w:r>
          </w:p>
          <w:p w:rsidR="00EB7645" w:rsidRPr="00BE00C7" w:rsidP="00BE00C7">
            <w:pPr>
              <w:pStyle w:val="OutcomeDescription"/>
              <w:spacing w:before="120" w:after="120"/>
              <w:rPr>
                <w:rFonts w:cs="Arial"/>
                <w:b w:val="0"/>
                <w:lang w:eastAsia="en-NZ"/>
              </w:rPr>
            </w:pPr>
            <w:r w:rsidRPr="00BE00C7">
              <w:rPr>
                <w:rFonts w:cs="Arial"/>
                <w:b w:val="0"/>
                <w:lang w:eastAsia="en-NZ"/>
              </w:rPr>
              <w:t>A monthly report is generated by the ADHB outlining the number of deaths, the number of residents who have used LDL and reasons why they have not used the LDL.  The report also focusses on training objectives and orientation of new staff to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ADHB team or hospice resources are then utilised to update and meet training needs for St John’s which  includes orientation on the system for  new staff.  These trainings have occurred twice in 2015 to date. </w:t>
            </w:r>
          </w:p>
          <w:p w:rsidR="00EB7645" w:rsidRPr="00BE00C7" w:rsidP="00BE00C7">
            <w:pPr>
              <w:pStyle w:val="OutcomeDescription"/>
              <w:spacing w:before="120" w:after="120"/>
              <w:rPr>
                <w:rFonts w:cs="Arial"/>
                <w:b w:val="0"/>
                <w:lang w:eastAsia="en-NZ"/>
              </w:rPr>
            </w:pPr>
            <w:r w:rsidRPr="00BE00C7">
              <w:rPr>
                <w:rFonts w:cs="Arial"/>
                <w:b w:val="0"/>
                <w:lang w:eastAsia="en-NZ"/>
              </w:rPr>
              <w:t>The hospice nurse interviewed reported that St John’s provides excellent palliative care, and that the hospice regularly refers to the service and recommends families and clients visit the service.  She has recently completed a survey of the service provided to palliative care residents and their families at St John’s and while data has not been formally reviewed, initial evaluation appears positive.  She reports she regularly receives excellent feedback from families of the service provided by St John’s.  The GP described the palliative care provided to residents at St John’s and the knowledge of the nursing staff as better than most facilities.  The ongoing excellent standard of palliative care is also demonstrated by an increase in the number of residents referred in the ADHB area (not all residents) on palliative care contracts having increased from eight in total in 2014 to seven in 2015 to date (mid-September).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has an organisation wide mission with pillars of care that are known and implemented at St John’s Hospital and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CHT’s logo is ‘We take great care of older people’. </w:t>
            </w:r>
          </w:p>
          <w:p w:rsidR="00EB7645" w:rsidRPr="00BE00C7" w:rsidP="00BE00C7">
            <w:pPr>
              <w:pStyle w:val="OutcomeDescription"/>
              <w:spacing w:before="120" w:after="120"/>
              <w:rPr>
                <w:rFonts w:cs="Arial"/>
                <w:b w:val="0"/>
                <w:lang w:eastAsia="en-NZ"/>
              </w:rPr>
            </w:pPr>
            <w:r w:rsidRPr="00BE00C7">
              <w:rPr>
                <w:rFonts w:cs="Arial"/>
                <w:b w:val="0"/>
                <w:lang w:eastAsia="en-NZ"/>
              </w:rPr>
              <w:t>Underpinning this is CHT’s five pillars of care: compassion, comfort, companionship, care and quality of life.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late 2013 CHT including St John’s, focused on one of these five pillars of care ‘quality of life’ and looked at ways to reduce falls for its residents as it recognised that falls prevention is not an isolated goal but part of a larger objective of promoting activity and improving quality of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aim was to reduce residents’ falls, as it is a crucial aspect in reducing injury for residents. </w:t>
            </w:r>
          </w:p>
          <w:p w:rsidR="00EB7645" w:rsidRPr="00BE00C7" w:rsidP="00BE00C7">
            <w:pPr>
              <w:pStyle w:val="OutcomeDescription"/>
              <w:spacing w:before="120" w:after="120"/>
              <w:rPr>
                <w:rFonts w:cs="Arial"/>
                <w:b w:val="0"/>
                <w:lang w:eastAsia="en-NZ"/>
              </w:rPr>
            </w:pPr>
            <w:r w:rsidRPr="00BE00C7">
              <w:rPr>
                <w:rFonts w:cs="Arial"/>
                <w:b w:val="0"/>
                <w:lang w:eastAsia="en-NZ"/>
              </w:rPr>
              <w:t>On investigating the reasons why residents fall at St John’s and from analysing the trends, it was evident that a number of falls were as a result of residents trying to get out of bed unsupervised.</w:t>
            </w:r>
          </w:p>
          <w:p w:rsidR="00EB7645" w:rsidRPr="00BE00C7" w:rsidP="00BE00C7">
            <w:pPr>
              <w:pStyle w:val="OutcomeDescription"/>
              <w:spacing w:before="120" w:after="120"/>
              <w:rPr>
                <w:rFonts w:cs="Arial"/>
                <w:b w:val="0"/>
                <w:lang w:eastAsia="en-NZ"/>
              </w:rPr>
            </w:pPr>
            <w:r w:rsidRPr="00BE00C7">
              <w:rPr>
                <w:rFonts w:cs="Arial"/>
                <w:b w:val="0"/>
                <w:lang w:eastAsia="en-NZ"/>
              </w:rPr>
              <w:t>Coupled with this was a concern around the use of bedrails as a falls management strategy in preventing residents from trying to get out of bed unaided.  As with any form of restraint the service identified ongoing safety concerns and risks associated with restraint usage.</w:t>
            </w:r>
          </w:p>
          <w:p w:rsidR="00EB7645" w:rsidRPr="00BE00C7" w:rsidP="00BE00C7">
            <w:pPr>
              <w:pStyle w:val="OutcomeDescription"/>
              <w:spacing w:before="120" w:after="120"/>
              <w:rPr>
                <w:rFonts w:cs="Arial"/>
                <w:b w:val="0"/>
                <w:lang w:eastAsia="en-NZ"/>
              </w:rPr>
            </w:pPr>
            <w:r w:rsidRPr="00BE00C7">
              <w:rPr>
                <w:rFonts w:cs="Arial"/>
                <w:b w:val="0"/>
                <w:lang w:eastAsia="en-NZ"/>
              </w:rPr>
              <w:t>As per CHT’s restraint minimisation policy ‘CHT will promote quality of life for residents by ensuring the use of restraint is kept to a minimum, and only used to ensure the safety of the resident, staff and other residents or visitors to the unit.’</w:t>
            </w:r>
          </w:p>
          <w:p w:rsidR="00EB7645" w:rsidRPr="00BE00C7" w:rsidP="00BE00C7">
            <w:pPr>
              <w:pStyle w:val="OutcomeDescription"/>
              <w:spacing w:before="120" w:after="120"/>
              <w:rPr>
                <w:rFonts w:cs="Arial"/>
                <w:b w:val="0"/>
                <w:lang w:eastAsia="en-NZ"/>
              </w:rPr>
            </w:pPr>
            <w:r w:rsidRPr="00BE00C7">
              <w:rPr>
                <w:rFonts w:cs="Arial"/>
                <w:b w:val="0"/>
                <w:lang w:eastAsia="en-NZ"/>
              </w:rPr>
              <w:t>In attempting to reduce falls associated with residents getting out of bed unaided, a decision was made to purchase ultralow beds.  Thirty of these beds are now in use at St John’s.</w:t>
            </w:r>
          </w:p>
          <w:p w:rsidR="00EB7645" w:rsidRPr="00BE00C7" w:rsidP="00BE00C7">
            <w:pPr>
              <w:pStyle w:val="OutcomeDescription"/>
              <w:spacing w:before="120" w:after="120"/>
              <w:rPr>
                <w:rFonts w:cs="Arial"/>
                <w:b w:val="0"/>
                <w:lang w:eastAsia="en-NZ"/>
              </w:rPr>
            </w:pPr>
            <w:r w:rsidRPr="00BE00C7">
              <w:rPr>
                <w:rFonts w:cs="Arial"/>
                <w:b w:val="0"/>
                <w:lang w:eastAsia="en-NZ"/>
              </w:rPr>
              <w:t>The objectives were:</w:t>
            </w:r>
          </w:p>
          <w:p w:rsidR="00EB7645" w:rsidRPr="00BE00C7" w:rsidP="00BE00C7">
            <w:pPr>
              <w:pStyle w:val="OutcomeDescription"/>
              <w:spacing w:before="120" w:after="120"/>
              <w:rPr>
                <w:rFonts w:cs="Arial"/>
                <w:b w:val="0"/>
                <w:lang w:eastAsia="en-NZ"/>
              </w:rPr>
            </w:pPr>
            <w:r w:rsidRPr="00BE00C7">
              <w:rPr>
                <w:rFonts w:cs="Arial"/>
                <w:b w:val="0"/>
                <w:lang w:eastAsia="en-NZ"/>
              </w:rPr>
              <w:t>1.</w:t>
              <w:tab/>
              <w:t>Reduce resident falls</w:t>
            </w:r>
          </w:p>
          <w:p w:rsidR="00EB7645" w:rsidRPr="00BE00C7" w:rsidP="00BE00C7">
            <w:pPr>
              <w:pStyle w:val="OutcomeDescription"/>
              <w:spacing w:before="120" w:after="120"/>
              <w:rPr>
                <w:rFonts w:cs="Arial"/>
                <w:b w:val="0"/>
                <w:lang w:eastAsia="en-NZ"/>
              </w:rPr>
            </w:pPr>
            <w:r w:rsidRPr="00BE00C7">
              <w:rPr>
                <w:rFonts w:cs="Arial"/>
                <w:b w:val="0"/>
                <w:lang w:eastAsia="en-NZ"/>
              </w:rPr>
              <w:t>2.</w:t>
              <w:tab/>
              <w:t>Promote quality of life</w:t>
            </w:r>
          </w:p>
          <w:p w:rsidR="00EB7645" w:rsidRPr="00BE00C7" w:rsidP="00BE00C7">
            <w:pPr>
              <w:pStyle w:val="OutcomeDescription"/>
              <w:spacing w:before="120" w:after="120"/>
              <w:rPr>
                <w:rFonts w:cs="Arial"/>
                <w:b w:val="0"/>
                <w:lang w:eastAsia="en-NZ"/>
              </w:rPr>
            </w:pPr>
            <w:r w:rsidRPr="00BE00C7">
              <w:rPr>
                <w:rFonts w:cs="Arial"/>
                <w:b w:val="0"/>
                <w:lang w:eastAsia="en-NZ"/>
              </w:rPr>
              <w:t>3.</w:t>
              <w:tab/>
              <w:t>Educate staff, the resident and the family on falls management strategies</w:t>
            </w:r>
          </w:p>
          <w:p w:rsidR="00EB7645" w:rsidRPr="00BE00C7" w:rsidP="00BE00C7">
            <w:pPr>
              <w:pStyle w:val="OutcomeDescription"/>
              <w:spacing w:before="120" w:after="120"/>
              <w:rPr>
                <w:rFonts w:cs="Arial"/>
                <w:b w:val="0"/>
                <w:lang w:eastAsia="en-NZ"/>
              </w:rPr>
            </w:pPr>
            <w:r w:rsidRPr="00BE00C7">
              <w:rPr>
                <w:rFonts w:cs="Arial"/>
                <w:b w:val="0"/>
                <w:lang w:eastAsia="en-NZ"/>
              </w:rPr>
              <w:t>4.</w:t>
              <w:tab/>
              <w:t>Ensure CHT’s falls management policy and other falls management documentation is current and reflects best practice</w:t>
            </w:r>
          </w:p>
          <w:p w:rsidR="00EB7645" w:rsidRPr="00BE00C7" w:rsidP="00BE00C7">
            <w:pPr>
              <w:pStyle w:val="OutcomeDescription"/>
              <w:spacing w:before="120" w:after="120"/>
              <w:rPr>
                <w:rFonts w:cs="Arial"/>
                <w:b w:val="0"/>
                <w:lang w:eastAsia="en-NZ"/>
              </w:rPr>
            </w:pPr>
            <w:r w:rsidRPr="00BE00C7">
              <w:rPr>
                <w:rFonts w:cs="Arial"/>
                <w:b w:val="0"/>
                <w:lang w:eastAsia="en-NZ"/>
              </w:rPr>
              <w:t>5.</w:t>
              <w:tab/>
              <w:t>Reduce the use of bedrails for maintaining resident safety.</w:t>
            </w:r>
          </w:p>
          <w:p w:rsidR="00EB7645" w:rsidRPr="00BE00C7" w:rsidP="00BE00C7">
            <w:pPr>
              <w:pStyle w:val="OutcomeDescription"/>
              <w:spacing w:before="120" w:after="120"/>
              <w:rPr>
                <w:rFonts w:cs="Arial"/>
                <w:b w:val="0"/>
                <w:lang w:eastAsia="en-NZ"/>
              </w:rPr>
            </w:pPr>
            <w:r w:rsidRPr="00BE00C7">
              <w:rPr>
                <w:rFonts w:cs="Arial"/>
                <w:b w:val="0"/>
                <w:lang w:eastAsia="en-NZ"/>
              </w:rPr>
              <w:t>Falls are recorded in the electronic patient management system each month.  This data is extracted monthly and analysed.  The analysis includes identifying any specific trends for the resident (eg, time of fall, frequency of falls and number of falls over a rolling 12-month period).  This information was graphed and is useful for highlighting to staff.  Frequent fallers are also identified and from this falls management strategies are discussed at the monthly unit review meetings.  This includes the use of low beds as a strategy.  The unit manager, area manager, finance manager and the CEO, attends these meetings.</w:t>
            </w:r>
          </w:p>
          <w:p w:rsidR="00EB7645" w:rsidRPr="00BE00C7" w:rsidP="00BE00C7">
            <w:pPr>
              <w:pStyle w:val="OutcomeDescription"/>
              <w:spacing w:before="120" w:after="120"/>
              <w:rPr>
                <w:rFonts w:cs="Arial"/>
                <w:b w:val="0"/>
                <w:lang w:eastAsia="en-NZ"/>
              </w:rPr>
            </w:pPr>
            <w:r w:rsidRPr="00BE00C7">
              <w:rPr>
                <w:rFonts w:cs="Arial"/>
                <w:b w:val="0"/>
                <w:lang w:eastAsia="en-NZ"/>
              </w:rPr>
              <w:t>Outcomes:</w:t>
            </w:r>
          </w:p>
          <w:p w:rsidR="00EB7645" w:rsidRPr="00BE00C7" w:rsidP="00BE00C7">
            <w:pPr>
              <w:pStyle w:val="OutcomeDescription"/>
              <w:spacing w:before="120" w:after="120"/>
              <w:rPr>
                <w:rFonts w:cs="Arial"/>
                <w:b w:val="0"/>
                <w:lang w:eastAsia="en-NZ"/>
              </w:rPr>
            </w:pPr>
            <w:r w:rsidRPr="00BE00C7">
              <w:rPr>
                <w:rFonts w:cs="Arial"/>
                <w:b w:val="0"/>
                <w:lang w:eastAsia="en-NZ"/>
              </w:rPr>
              <w:t>There are 30 ultra-low beds now in use at St John’s.  Because of the use of these beds there has been:</w:t>
            </w:r>
          </w:p>
          <w:p w:rsidR="00EB7645" w:rsidRPr="00BE00C7" w:rsidP="00BE00C7">
            <w:pPr>
              <w:pStyle w:val="OutcomeDescription"/>
              <w:spacing w:before="120" w:after="120"/>
              <w:rPr>
                <w:rFonts w:cs="Arial"/>
                <w:b w:val="0"/>
                <w:lang w:eastAsia="en-NZ"/>
              </w:rPr>
            </w:pPr>
            <w:r w:rsidRPr="00BE00C7">
              <w:rPr>
                <w:rFonts w:cs="Arial"/>
                <w:b w:val="0"/>
                <w:lang w:eastAsia="en-NZ"/>
              </w:rPr>
              <w:t>•</w:t>
              <w:tab/>
              <w:t>A reduction in falls for residents using ultra low beds and reduction in the potential for serious injury (there have been no serious injury falls for these residents).</w:t>
            </w:r>
          </w:p>
          <w:p w:rsidR="00EB7645" w:rsidRPr="00BE00C7" w:rsidP="00BE00C7">
            <w:pPr>
              <w:pStyle w:val="OutcomeDescription"/>
              <w:spacing w:before="120" w:after="120"/>
              <w:rPr>
                <w:rFonts w:cs="Arial"/>
                <w:b w:val="0"/>
                <w:lang w:eastAsia="en-NZ"/>
              </w:rPr>
            </w:pPr>
            <w:r w:rsidRPr="00BE00C7">
              <w:rPr>
                <w:rFonts w:cs="Arial"/>
                <w:b w:val="0"/>
                <w:lang w:eastAsia="en-NZ"/>
              </w:rPr>
              <w:t>•</w:t>
              <w:tab/>
              <w:t>All new residents have falls risk assessed using FRAT.</w:t>
            </w:r>
          </w:p>
          <w:p w:rsidR="00EB7645" w:rsidRPr="00BE00C7" w:rsidP="00BE00C7">
            <w:pPr>
              <w:pStyle w:val="OutcomeDescription"/>
              <w:spacing w:before="120" w:after="120"/>
              <w:rPr>
                <w:rFonts w:cs="Arial"/>
                <w:b w:val="0"/>
                <w:lang w:eastAsia="en-NZ"/>
              </w:rPr>
            </w:pPr>
            <w:r w:rsidRPr="00BE00C7">
              <w:rPr>
                <w:rFonts w:cs="Arial"/>
                <w:b w:val="0"/>
                <w:lang w:eastAsia="en-NZ"/>
              </w:rPr>
              <w:t>•</w:t>
              <w:tab/>
              <w:t>‘Falls’ is now a standalone heading in the electronic care plan.</w:t>
            </w:r>
          </w:p>
          <w:p w:rsidR="00EB7645" w:rsidRPr="00BE00C7" w:rsidP="00BE00C7">
            <w:pPr>
              <w:pStyle w:val="OutcomeDescription"/>
              <w:spacing w:before="120" w:after="120"/>
              <w:rPr>
                <w:rFonts w:cs="Arial"/>
                <w:b w:val="0"/>
                <w:lang w:eastAsia="en-NZ"/>
              </w:rPr>
            </w:pPr>
            <w:r w:rsidRPr="00BE00C7">
              <w:rPr>
                <w:rFonts w:cs="Arial"/>
                <w:b w:val="0"/>
                <w:lang w:eastAsia="en-NZ"/>
              </w:rPr>
              <w:t>•</w:t>
              <w:tab/>
              <w:t>The falls management policy has been updated.</w:t>
            </w:r>
          </w:p>
          <w:p w:rsidR="00EB7645" w:rsidRPr="00BE00C7" w:rsidP="00BE00C7">
            <w:pPr>
              <w:pStyle w:val="OutcomeDescription"/>
              <w:spacing w:before="120" w:after="120"/>
              <w:rPr>
                <w:rFonts w:cs="Arial"/>
                <w:b w:val="0"/>
                <w:lang w:eastAsia="en-NZ"/>
              </w:rPr>
            </w:pPr>
            <w:r w:rsidRPr="00BE00C7">
              <w:rPr>
                <w:rFonts w:cs="Arial"/>
                <w:b w:val="0"/>
                <w:lang w:eastAsia="en-NZ"/>
              </w:rPr>
              <w:t>•</w:t>
              <w:tab/>
              <w:t>The falls checklist has been updated</w:t>
            </w:r>
          </w:p>
          <w:p w:rsidR="00EB7645" w:rsidRPr="00BE00C7" w:rsidP="00BE00C7">
            <w:pPr>
              <w:pStyle w:val="OutcomeDescription"/>
              <w:spacing w:before="120" w:after="120"/>
              <w:rPr>
                <w:rFonts w:cs="Arial"/>
                <w:b w:val="0"/>
                <w:lang w:eastAsia="en-NZ"/>
              </w:rPr>
            </w:pPr>
            <w:r w:rsidRPr="00BE00C7">
              <w:rPr>
                <w:rFonts w:cs="Arial"/>
                <w:b w:val="0"/>
                <w:lang w:eastAsia="en-NZ"/>
              </w:rPr>
              <w:t>•</w:t>
              <w:tab/>
              <w:t>There is a pictorial chart in place for each resident that identifies falls risk (sighted in residents’ rooms).</w:t>
            </w:r>
          </w:p>
          <w:p w:rsidR="00EB7645" w:rsidRPr="00BE00C7" w:rsidP="00BE00C7">
            <w:pPr>
              <w:pStyle w:val="OutcomeDescription"/>
              <w:spacing w:before="120" w:after="120"/>
              <w:rPr>
                <w:rFonts w:cs="Arial"/>
                <w:b w:val="0"/>
                <w:lang w:eastAsia="en-NZ"/>
              </w:rPr>
            </w:pPr>
            <w:r w:rsidRPr="00BE00C7">
              <w:rPr>
                <w:rFonts w:cs="Arial"/>
                <w:b w:val="0"/>
                <w:lang w:eastAsia="en-NZ"/>
              </w:rPr>
              <w:t>•</w:t>
              <w:tab/>
              <w:t>The CHT manual handling programme has been updated.</w:t>
            </w:r>
          </w:p>
          <w:p w:rsidR="00EB7645" w:rsidRPr="00BE00C7" w:rsidP="00BE00C7">
            <w:pPr>
              <w:pStyle w:val="OutcomeDescription"/>
              <w:spacing w:before="120" w:after="120"/>
              <w:rPr>
                <w:rFonts w:cs="Arial"/>
                <w:b w:val="0"/>
                <w:lang w:eastAsia="en-NZ"/>
              </w:rPr>
            </w:pPr>
            <w:r w:rsidRPr="00BE00C7">
              <w:rPr>
                <w:rFonts w:cs="Arial"/>
                <w:b w:val="0"/>
                <w:lang w:eastAsia="en-NZ"/>
              </w:rPr>
              <w:t>•</w:t>
              <w:tab/>
              <w:t>A site ‘champion’ in manual handling has been appointed.</w:t>
            </w:r>
          </w:p>
          <w:p w:rsidR="00EB7645" w:rsidRPr="00BE00C7" w:rsidP="00BE00C7">
            <w:pPr>
              <w:pStyle w:val="OutcomeDescription"/>
              <w:spacing w:before="120" w:after="120"/>
              <w:rPr>
                <w:rFonts w:cs="Arial"/>
                <w:b w:val="0"/>
                <w:lang w:eastAsia="en-NZ"/>
              </w:rPr>
            </w:pPr>
            <w:r w:rsidRPr="00BE00C7">
              <w:rPr>
                <w:rFonts w:cs="Arial"/>
                <w:b w:val="0"/>
                <w:lang w:eastAsia="en-NZ"/>
              </w:rPr>
              <w:t>•</w:t>
              <w:tab/>
              <w:t>There are regular meetings with champions to identify falls management strategies for particular residents at St John’s.</w:t>
            </w:r>
          </w:p>
          <w:p w:rsidR="00EB7645" w:rsidRPr="00BE00C7" w:rsidP="00BE00C7">
            <w:pPr>
              <w:pStyle w:val="OutcomeDescription"/>
              <w:spacing w:before="120" w:after="120"/>
              <w:rPr>
                <w:rFonts w:cs="Arial"/>
                <w:b w:val="0"/>
                <w:lang w:eastAsia="en-NZ"/>
              </w:rPr>
            </w:pPr>
            <w:r w:rsidRPr="00BE00C7">
              <w:rPr>
                <w:rFonts w:cs="Arial"/>
                <w:b w:val="0"/>
                <w:lang w:eastAsia="en-NZ"/>
              </w:rPr>
              <w:t>•</w:t>
              <w:tab/>
              <w:t>The CHT Focus on Care award was awarded to a St John’s staff member for the management of falls.</w:t>
            </w:r>
          </w:p>
          <w:p w:rsidR="00EB7645" w:rsidRPr="00BE00C7" w:rsidP="00BE00C7">
            <w:pPr>
              <w:pStyle w:val="OutcomeDescription"/>
              <w:spacing w:before="120" w:after="120"/>
              <w:rPr>
                <w:rFonts w:cs="Arial"/>
                <w:b w:val="0"/>
                <w:lang w:eastAsia="en-NZ"/>
              </w:rPr>
            </w:pPr>
            <w:r w:rsidRPr="00BE00C7">
              <w:rPr>
                <w:rFonts w:cs="Arial"/>
                <w:b w:val="0"/>
                <w:lang w:eastAsia="en-NZ"/>
              </w:rPr>
              <w:t>•</w:t>
              <w:tab/>
              <w:t>Three residents no longer use bedrails as a result of using low, low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appropriate food service in place for residents and all weights are monitored and documented monthly.  There is dietitian input when weight loss is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commenced using a Replenish Energy and Protein (REAP) programme in July 2012.  REAP puts a focus on nutrition and 'nutrition alerts'.  The documented programme has been developed by the external contractors dietitian and provides eligibility criteria and implementation guidelines for each level of REAP. The emphasis is on food first rather than commercial supplements for managing unintended weight loss.  At St John’s there are currently 22 residents on REAP.  These residents are clearly documented on the whiteboard in the kitchen.  When a resident is identified as having unintended weight loss, a weight loss report is completed.  This includes checking the mouth and teeth, reviewing diet type, monitoring food intake, consulting with the cook, consulting the dietitian, referring to the GP, referring to family and reviewing medication.  Two files were sampled for residents who have been on REAP.  Both were assessed by a dietitian prior to commencement on REAP.  Each of the two residents on REAP whose files were sampled have had weight gain.  All staff are provided with annual training around REAP (last November 2014) with the kitchen staff receiving more detailed training.  Seven of seven caregivers and three registered nurses interviewed are all familiar with REAP and report the benefits to residents.  The cook interviewed reports that ways in which she implements REAP include fortifying food wherever possible for those on the programme.  Examples include cream and brown sugar on cereals, extra margarine on vegetables, fortifying mashed potato, sauces and purees, cream on desserts in the evening, fortifying soup, providing fortified milk and fortified drinks, fortified custard for supper and sandwiches for supper.  The service continues to evaluate and improve the REAP programme and initial results show a marked decrease in weight loss for those using the programme.  The last review of the programme was in July 2015 with only minor changes made.  The CHT external dietitian reviewed the food service in October to December 2014 and documented positive outcomes relating to residents on the REAP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St Johns</w:t>
    </w:r>
    <w:bookmarkEnd w:id="58"/>
    <w:r>
      <w:rPr>
        <w:rFonts w:cs="Arial"/>
        <w:sz w:val="16"/>
        <w:szCs w:val="20"/>
      </w:rPr>
      <w:tab/>
      <w:t xml:space="preserve">Date of Audit: </w:t>
    </w:r>
    <w:bookmarkStart w:id="59" w:name="AuditStartDate1"/>
    <w:r>
      <w:rPr>
        <w:rFonts w:cs="Arial"/>
        <w:sz w:val="16"/>
        <w:szCs w:val="20"/>
      </w:rPr>
      <w:t>14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