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Taumarunui Community Kokiri Enterprises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Taumarunui Community Kokiri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Arahina O Arihia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October 2015</w:t>
      </w:r>
      <w:bookmarkEnd w:id="7"/>
      <w:r w:rsidRPr="009418D4">
        <w:rPr>
          <w:rFonts w:cs="Arial"/>
        </w:rPr>
        <w:tab/>
        <w:t xml:space="preserve">End date: </w:t>
      </w:r>
      <w:bookmarkStart w:id="8" w:name="AuditEndDate"/>
      <w:r w:rsidR="00A4268A">
        <w:rPr>
          <w:rFonts w:cs="Arial"/>
        </w:rPr>
        <w:t>6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Arahina O Arihia Lifestyle Home has undergone some changes since the previous audit. The service exited the provision of dementia care on 1 September 2015, restructured staffing numbers and roles and reduced its capacity to provide rest home care to a maximum of 15 residents. </w:t>
      </w:r>
    </w:p>
    <w:p w:rsidRPr="00A4268A">
      <w:pPr>
        <w:spacing w:before="240" w:line="276" w:lineRule="auto"/>
        <w:rPr>
          <w:rFonts w:eastAsia="Calibri"/>
        </w:rPr>
      </w:pPr>
      <w:r w:rsidRPr="00A4268A">
        <w:rPr>
          <w:rFonts w:eastAsia="Calibri"/>
        </w:rPr>
        <w:t xml:space="preserve">A new manager has been appointed and is working alongside the previous manager, whose role is clinical leader/registered nurse. The facility has changed its name to Te Arahina O Arihia Lifestyle Home. On the day of audit there were nine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providers’ contract with the District Health Board. The audit process included review of policy and procedures, review of resident and staff files, observations and interviews with residents, management, families and staff.  A general practitioner (GP) was interviewed by telephone and expressed confidence in the staff and service delivery. The residents and family members interviewed stated they were very satisfied with the care and services provided.</w:t>
      </w:r>
    </w:p>
    <w:p w:rsidRPr="00A4268A">
      <w:pPr>
        <w:spacing w:before="240" w:line="276" w:lineRule="auto"/>
        <w:rPr>
          <w:rFonts w:eastAsia="Calibri"/>
        </w:rPr>
      </w:pPr>
      <w:r w:rsidRPr="00A4268A">
        <w:rPr>
          <w:rFonts w:eastAsia="Calibri"/>
        </w:rPr>
        <w:t>There have been no coroner’s inquests or issues based audits since the previous certification audit in 2014. There are two improvements required as a result of this surveillance audit.  These relate to medicine management systems and the regular evaluation of residents’ care and progress.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are effective communication systems between staff, between staff and residents and their families, and with other health providers. The service adheres to the practice of open disclosure where necessary. </w:t>
      </w:r>
    </w:p>
    <w:p w:rsidRPr="00A4268A">
      <w:pPr>
        <w:spacing w:before="240" w:line="276" w:lineRule="auto"/>
        <w:rPr>
          <w:rFonts w:eastAsia="Calibri"/>
        </w:rPr>
      </w:pPr>
      <w:r w:rsidRPr="00A4268A">
        <w:rPr>
          <w:rFonts w:eastAsia="Calibri"/>
        </w:rPr>
        <w:t>Review of complaint records and interviews with staff, residents and families demonstrated that complaints received since the previous audit have been managed effectively. There have been no known complaints to the Office of the Health and Disability Commissioner (HDC).</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is maintaining its quality and risk management system with regular monitoring of all service areas.</w:t>
      </w:r>
    </w:p>
    <w:p w:rsidRPr="00A4268A">
      <w:pPr>
        <w:spacing w:before="240" w:line="276" w:lineRule="auto"/>
        <w:rPr>
          <w:rFonts w:eastAsia="Calibri"/>
        </w:rPr>
      </w:pPr>
      <w:r w:rsidRPr="00A4268A">
        <w:rPr>
          <w:rFonts w:eastAsia="Calibri"/>
        </w:rPr>
        <w:t>Adverse events are reliably reported by all levels of staff. There have been no serious events requiring notification and there are effective systems to ensure regulatory requirements are met.</w:t>
      </w:r>
    </w:p>
    <w:p w:rsidRPr="00A4268A">
      <w:pPr>
        <w:spacing w:before="240" w:line="276" w:lineRule="auto"/>
        <w:rPr>
          <w:rFonts w:eastAsia="Calibri"/>
        </w:rPr>
      </w:pPr>
      <w:r w:rsidRPr="00A4268A">
        <w:rPr>
          <w:rFonts w:eastAsia="Calibri"/>
        </w:rPr>
        <w:t>Human resources systems are in place and staff are recruited and managed effectively. Staff training in relevant subject areas is occurring regularly. All staff are supported and encouraged to attend ongoing performance development and achieve educational qualifications in health care. There has been a significant reduction in the number of staff employed and the number of hours allocated in some service areas, such as activities and cleaning, but the service meets the contractual requirements. There were adequate numbers of skilled and experienced care staff on site to meet the needs of residents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promotes a team approach to care delivery and is coordinated in a manner that promotes continuity.  Services are provided by suitably qualified and trained staff.  All internal assessments of residents’ needs are completed using the electronic interRAI assessment programme.  The processes for assessment, planning, provision, review and exit are provided within time frames that safely meet the needs of the resident and meet contractual requirements.  </w:t>
      </w:r>
    </w:p>
    <w:p w:rsidRPr="00A4268A" w:rsidP="00621629">
      <w:pPr>
        <w:spacing w:before="240" w:line="276" w:lineRule="auto"/>
        <w:rPr>
          <w:rFonts w:eastAsia="Calibri"/>
        </w:rPr>
      </w:pPr>
      <w:r w:rsidRPr="00A4268A">
        <w:rPr>
          <w:rFonts w:eastAsia="Calibri"/>
        </w:rPr>
        <w:t>Care is evaluated at least six monthly, or sooner if there is a change in the resident’s needs, in which case, a short term care plan is implemented; however, an improvement is required to ensure that all care plans are evaluated to meet the required timeframes.</w:t>
      </w:r>
    </w:p>
    <w:p w:rsidRPr="00A4268A" w:rsidP="00621629">
      <w:pPr>
        <w:spacing w:before="240" w:line="276" w:lineRule="auto"/>
        <w:rPr>
          <w:rFonts w:eastAsia="Calibri"/>
        </w:rPr>
      </w:pPr>
      <w:r w:rsidRPr="00A4268A">
        <w:rPr>
          <w:rFonts w:eastAsia="Calibri"/>
        </w:rPr>
        <w:t>Residents are encouraged to maintain links with family and the community.  The activities that the service provides within the rest home reflect this.</w:t>
      </w:r>
    </w:p>
    <w:p w:rsidRPr="00A4268A" w:rsidP="00621629">
      <w:pPr>
        <w:spacing w:before="240" w:line="276" w:lineRule="auto"/>
        <w:rPr>
          <w:rFonts w:eastAsia="Calibri"/>
        </w:rPr>
      </w:pPr>
      <w:r w:rsidRPr="00A4268A">
        <w:rPr>
          <w:rFonts w:eastAsia="Calibri"/>
        </w:rPr>
        <w:t>A safe medicine administration system was observed at the time of audit.  Staff responsible for medicine management have been assessed as competent to do so.  An improvement is required in the recording of the controlled medicines register and documentation of the reasons for administering of ‘as required’ medication.</w:t>
      </w:r>
    </w:p>
    <w:p w:rsidRPr="00A4268A" w:rsidP="00621629">
      <w:pPr>
        <w:spacing w:before="240" w:line="276" w:lineRule="auto"/>
        <w:rPr>
          <w:rFonts w:eastAsia="Calibri"/>
        </w:rPr>
      </w:pPr>
      <w:r w:rsidRPr="00A4268A">
        <w:rPr>
          <w:rFonts w:eastAsia="Calibri"/>
        </w:rPr>
        <w:t xml:space="preserve">The residents were satisfied with the meal service.  The menu has been reviewed by a dietitian and residents’ nutritional requirements, preferences and needs are meet.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 decommission of the provision of dementia care back to a single scope of rest home level care has not significantly impacted the environment. Apart from the removal of keypad access and security doors there were no structural changes to the building. Each bedroom is now allocated a sole occupant. The previous outsourcing of laundry services has stopped and staff now carry out laundry services. Improvements to the interior of the home were noted on the day of the audit. Emergency and disaster planning is evident and equipment and resources are available on site and maintained. All building regulations, fire safety, emergency and security standards are met. Residents and families interviewed are satisfied with the environment.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systems and practices meet the requirements of this standard. On the day of audit there were two residents using bed rails as enablers. Assessment, consent, approval and monitoring and review occurs in relation to the use of these interventions. </w:t>
      </w:r>
    </w:p>
    <w:p w:rsidRPr="00A4268A">
      <w:pPr>
        <w:spacing w:before="240" w:line="276" w:lineRule="auto"/>
        <w:rPr>
          <w:rFonts w:eastAsia="Calibri"/>
        </w:rPr>
      </w:pPr>
      <w:r w:rsidRPr="00A4268A">
        <w:rPr>
          <w:rFonts w:eastAsia="Calibri"/>
        </w:rPr>
        <w:t>Staff training on restraint and enabler use continues to be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infection surveillance results are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2"/>
        <w:gridCol w:w="1280"/>
        <w:gridCol w:w="100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effectively manage the complaints process and maintain a complaints register. Residents interviewed confirmed knowledge of the ways to lodge a complaint. This was seen in the record of two complaints from residents logged since the previous audit. The documents show that each matter was investigated immediately, and managed effectively for resolution with all parties. There was evidence of ongoing communication with the people involved and external advocacy was offered. The complaint register contained many complaints from staff about other staff particularly while the service was undergoing change earlier this year and a temporary manager was in place. The documents reviewed and staff interviews confirmed that the matters were addressed in a professional and timely manner and were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incident accident policy refers to open disclosure practices. Family/whanau confirm they are kept informed of the resident`s status and are notified of adverse events. Review of the incident accident and complaint records shows that contact with the family and GP is documented if the resident has been injured in an incident/accident or there has been any change in the resident’s condition. Details from doctors’ visits are documented and communicated as required. There were no residents for whom English is a second language. Staff know how to contact interpreter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this unannounced audit the facility had nine rest home level care residents. There were three residents whose care was subsidized as young people with disabilities and not under the Age Residential Care Contract.</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new manager, RN and review of documents showed the quality, risk and business plans have current goals and that the board are provided with regular reports on service delivery and organisational performance. There has been significant change and restructure of the service to optimise sustainability. The new manager is the governing organisation’s HR manager and does not have experience in managing a care facility. This person has extensive experience in people management and employment. The previous manager is now full time employed as the clinical leader/RN. This person is attending ongoing performance development in subject areas related to the clinical leaders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documents and staff interviews showed that the organisation is maintaining effective quality and risk management systems. Policies and procedures are updated as required to meet known best practice. Residents interviewed confirmed they are consulted about services and are being kept informed at regular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data, such as incidents/accidents, infections, results of internal audits, complaints and service delivery improvements continues to be analysed, presented at the larger organisation’s monthly quality assurance (QA) meetings and is discussed with the facility staff at daily handover or staff meetings. There is evidence of actions being implemented for good effect when service deficits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annual quality plan, business plan and associated emergency plans identify current actual and potential risk to the business, service delivery, staff and/or visitors’ health and safety.  Environmental risks continue to be communicated to visitors, staff and residents as required. Review of staff meeting minutes showed that health and safety, including new hazards and resident related risks, are discussed. Trial fire evacuations have occurred every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reporting system is coordinated by the registered nurse (RN) and manager and known by staff who were interviewed. The event records reviewed showed that reporting occurs immediately and is investigated to determine cause and prevent or minimise recurrence. Service changes required as a result of the investigation are implemented as soon as practical. Staff, families and others who are impacted by an adverse event (eg, GP’s or DHB) are informed in a timely manner. This is recorded on the event form. Staff demonstrated understanding and knowledge about essential notification reporting. There have been no sentinel or other events which required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effectively managing its human resources. The skills and knowledge required is documented in position descriptions and employment agreements. The manager and a cross section of staff interviewed confirmed they understand their roles, delegated authority and responsibilities. Every job applicant is reference checked and police checked. Staff records contained evidence of curriculum vitaes (CVs), educational achievements, and the sole RN had a current practising certificate. New staff are oriented to organisational systems, quality and risk, the Code of Health and Disability Services Consumers’ Rights (the Code), health and safety, resident care, privacy and confidentiality, restraint, infection prevention and control and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staff performance appraisals are being conducted. Staff maintain knowledge and skills in emergency management, first aid certificates and competencies in medicine administration and attend regular training. The service supports all staff to engage in ongoing training and education related to care of older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staff employed has been significantly reduced since the previous audit (from 22 FTE to 13 FTE and two casual staff). This was in response to the change in resident numbers and the single scope of rest home level care. Review of rosters and staff interviews revealed that the number of staff allocated to be on site in a 24 hour period meets the contractual requirements. There is a RN available on call 24 hours a day seven days a week. The activities coordinator is on site Monday to Friday from 10 am to 1 pm and for longer periods if this is required for outings. A dedicated cleaner is employed for 15 hours per week, Monday to Friday and staff carry out laundry services and cleaning where required on all shifts. Residents and family are satisfied with the availability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for residents are received and delivered by the pharmacy in a pre-packed delivery system.  A safe system for medicine management was observed on the day of the audit.  Medicines were stored in a locked medicine trolley and stored in a locked room in the rest home.  The controlled medicines register was sighted; one medication balance of a discharged resident, who was receiving respite care, was incorrect.  </w:t>
            </w:r>
          </w:p>
          <w:p w:rsidR="00EB7645" w:rsidRPr="00BE00C7" w:rsidP="00BE00C7">
            <w:pPr>
              <w:pStyle w:val="OutcomeDescription"/>
              <w:spacing w:before="120" w:after="120"/>
              <w:rPr>
                <w:rFonts w:cs="Arial"/>
                <w:b w:val="0"/>
                <w:lang w:eastAsia="en-NZ"/>
              </w:rPr>
            </w:pPr>
            <w:r w:rsidRPr="00BE00C7">
              <w:rPr>
                <w:rFonts w:cs="Arial"/>
                <w:b w:val="0"/>
                <w:lang w:eastAsia="en-NZ"/>
              </w:rPr>
              <w:t>The nine medicine charts reviewed have been reviewed by the GP every three months as was recorded on the medicine chart.  All prescriptions sighted contained the date, medicine name, dose and time of administration.  All medicine charts have each medicine individually prescribed and ‘as required’ (prn) medications identified, however eight of the nine medicine charts did not have the prn medications reason stated and identified for the use of that medication.  There is a specimen signature register maintained for all staff who administer medicines.  Medicine files reviewed have a photo of the resident to assist with the identification of the resident and recorded any medicine related allergies.  The registered nurse reported that no residents are self-medicating.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sighted for the staff (registered nurse and caregivers) designated as responsible for medicine management.  The registered nurse administering medicines at the time of audit demonstrated competency related to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fridge in the rest home where the insulin is stored correct temperatures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throughout the summer and winter season.  The menu is created in discussion with residents and then reviewed by a dietitian.  When unintentional weight loss or weight gain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completed for each resident by the registered nurse upon entry to the service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have all meals in two dining rooms available but have the option of eating meals in their rooms.  All meals are cooked and served directly from the kitchen.  Family/whanau and residents interviewed reported that they are satisfied with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food preparation and hygiene is carried out.  Food procurement, production, preparation, storage, delivery and disposal were sighted at the time of audit.  All fridges and freezers had temperature recordings sighted.  Kitchen staff have undertaken food safety management education appropriate to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in the rest home were individualised and reflected the needs of each resident.  Observations on the day of audit demonstrated that residents were receiving care that is flexible and focused on promoting quality of life for the resident.  The GP expressed satisfaction with the care provided and reported that the staff were knowledgeable and appropriately skilled.  The registered nurse and caregivers interviewed reported that the care plans were accurate and kept up to date to reflect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reported high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covers cognitive, physical and social needs.  The activities are modified to suit the individual needs and capabilities of each resident.  There are group and individual activities that focus on events that are organised within the township and surrounding communities.  Regular activities include discussing of current affairs, church services, van outings, specific men’s and women’s groups, arts and crafts, happy hour and regular weekly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provided with opportunities that are of interest to them from the past and present and are encouraged and supported to maintain their community networking and friendships allowing for ongoing socialisation and developing new interests.  The activity coordinators adapt activities to meet the needs and choices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daily and monthly activities plan sighted was developed based on the residents’ needs, skills and strengths and is developed in discussion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easy access to outside courtside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six residents care plans sighted had not been evaluated six monthly as required.  When there are short term care plans, these interventions are evaluated more frequently.  The wound treatment plan sighted has an evaluation of the treatment and condition of the wound at each dressing changes.  If a resident is not responding to the services/interventions being delivered, or their health status changes, then this is discussed with their GP.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reported high satisfaction with the care provided at the service and stated that they can consult with the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of warrant of fitness which expires in May 2016. Hazard monitoring and preventative maintenance occurs. New carpeting was due to be laid on the day of the audit and room upgrades and internal painting has happened since the previous audit. All external areas are safe. The decommissioning of the secure unit between July and September 2015 did not require any structural changes to the building. All bedrooms are now single occupancy whereby previously a number of them were double/shared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coordinator completes monthly surveillance of infections and uses standardised definitions of infections that are appropriate to the long term care setting.  The monthly analysis of the infections includes comparison with the previous month, reason for increase or decrease, trends and actions taken to reduce infection.  Trends and/or concerns about a resident are identified and these are discussed at staff meetings and at staff handovers where additional actions are discussed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data for 2015 shows a very low infection rate.  Benchmarking is not occurring at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were using bed rails as enablers on the day of the audit. Discussions with the restraint coordinator and review of residents’ records and restraint documentation revealed that assessment and consent had been obtained and that monitoring and quality evaluation and review of all restraints and enablers is occurring. The service complies with this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51"/>
        <w:gridCol w:w="1280"/>
        <w:gridCol w:w="3297"/>
        <w:gridCol w:w="4629"/>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medicine administration round was observed on the day of the audit and best practice was sighted.  Medicine records of nine residents were reviewed and the controlled medicines register was sighted, Documentation required as per legislation was not always evident.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medicines register showed a recorded balance of controlled medications that were not on site at the time of audit.  The medications had been returned to the (respite) resident on discharge home but the medications had not been signed out of the register.  Eight of nine medicine charts did not have the reasons required for administering prn (as required)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adherence to safe medicines administration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report on residents care and goals in progress notes at least daily.  Relevant changes are made to care plans; however two of six residents care plans sampled have not been evaluated within the required timeframe of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 residents care plans sampled had not been evaluated within required timeframe of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cares and progress is evaluated at least six monthly as stated in policy and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Taumarunui Community Kokiri Enterprises Limited</w:t>
    </w:r>
    <w:bookmarkEnd w:id="58"/>
    <w:r>
      <w:rPr>
        <w:rFonts w:cs="Arial"/>
        <w:sz w:val="16"/>
        <w:szCs w:val="20"/>
      </w:rPr>
      <w:tab/>
      <w:t xml:space="preserve">Date of Audit: </w:t>
    </w:r>
    <w:bookmarkStart w:id="59" w:name="AuditStartDate1"/>
    <w:r>
      <w:rPr>
        <w:rFonts w:cs="Arial"/>
        <w:sz w:val="16"/>
        <w:szCs w:val="20"/>
      </w:rPr>
      <w:t>6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