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Gracedale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Gracedale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2015</w:t>
      </w:r>
      <w:bookmarkEnd w:id="7"/>
      <w:r w:rsidRPr="009418D4">
        <w:rPr>
          <w:rFonts w:cs="Arial"/>
        </w:rPr>
        <w:tab/>
        <w:t xml:space="preserve">End date: </w:t>
      </w:r>
      <w:bookmarkStart w:id="8" w:name="AuditEndDate"/>
      <w:r w:rsidR="00A4268A">
        <w:rPr>
          <w:rFonts w:cs="Arial"/>
        </w:rPr>
        <w:t>23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Gracedale is managed and operated by the Selwyn Foundation.  The service provides rest home and hospital level of care for up to 36 residents.  On the day of audit, there were 35 residents.  The manager transferred from another Selwyn facility three months ago.  He is a registered nurse and has had ten years aged care experience.  A full-time clinical coordinator supports him.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general practitioner, management and staff.</w:t>
      </w:r>
    </w:p>
    <w:p w:rsidRPr="00A4268A">
      <w:pPr>
        <w:spacing w:before="240" w:line="276" w:lineRule="auto"/>
        <w:rPr>
          <w:rFonts w:eastAsia="Calibri"/>
        </w:rPr>
      </w:pPr>
      <w:r w:rsidRPr="00A4268A">
        <w:rPr>
          <w:rFonts w:eastAsia="Calibri"/>
        </w:rPr>
        <w:t xml:space="preserve">The service has addressed three of three previous findings related to assessments, care plans and medication allergies.  </w:t>
      </w:r>
    </w:p>
    <w:p w:rsidRPr="00A4268A">
      <w:pPr>
        <w:spacing w:before="240" w:line="276" w:lineRule="auto"/>
        <w:rPr>
          <w:rFonts w:eastAsia="Calibri"/>
        </w:rPr>
      </w:pPr>
      <w:r w:rsidRPr="00A4268A">
        <w:rPr>
          <w:rFonts w:eastAsia="Calibri"/>
        </w:rPr>
        <w:t xml:space="preserve">This audit has identified no shortfalls.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coordinator are responsible for the day-to-day operations of the facility.  Quality and risk management processes are maintained, reflecting the principals of continuous quality improvement.  Strategic plans and quality goals are documented and regularly reviewed.  Corrective action plans are implemented where opportunities for improvement are identified.  A risk management programme is in place, which includes a risk management plan, incident and accident reporting and robust health and safety processes.  Adverse, unplanned and untoward events are responded to in an appropriate and timely manner.  Human resources are managed in accordance with good employment practice, meeting legislative requirements.  An education and training programme is in place for staff.  Registered nursing cover is provided twenty-four hours a day, seven days a week.  There are sufficient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plans and evaluations.  Residents and relatives are involved in planning and evaluating care.  Care plans reviewed demonstrated service integration and were individualised to meet the resident’s needs.  Care plans were evaluated six monthly or more frequently when clinically indicated.  Short-term care plans are available for use for short-term needs.  Residents and family interviewed were positive about the care received.  </w:t>
        <w:br/>
        <w:t xml:space="preserve">The activities coordinator provides a five-day week programme focused on interesting and meaningful activities that meets the individual abilities and recreational preferences of the residents.  Community links are maintained.  </w:t>
      </w:r>
    </w:p>
    <w:p w:rsidRPr="00A4268A" w:rsidP="00621629">
      <w:pPr>
        <w:spacing w:before="240" w:line="276" w:lineRule="auto"/>
        <w:rPr>
          <w:rFonts w:eastAsia="Calibri"/>
        </w:rPr>
      </w:pPr>
      <w:r w:rsidRPr="00A4268A">
        <w:rPr>
          <w:rFonts w:eastAsia="Calibri"/>
        </w:rPr>
        <w:t xml:space="preserve">The service’s medication management system meets legislative requirements.  Staff responsible for medication administration complete annual competencies and medication education.  The general practitioner reviews medication charts three monthly.   </w:t>
      </w:r>
    </w:p>
    <w:p w:rsidRPr="00A4268A" w:rsidP="00621629">
      <w:pPr>
        <w:spacing w:before="240" w:line="276" w:lineRule="auto"/>
        <w:rPr>
          <w:rFonts w:eastAsia="Calibri"/>
        </w:rPr>
      </w:pPr>
      <w:r w:rsidRPr="00A4268A">
        <w:rPr>
          <w:rFonts w:eastAsia="Calibri"/>
        </w:rPr>
        <w:t xml:space="preserve">Contractors prepare and cook meals on site. A dietitian has reviewed the menu.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eight hospital level residents voluntarily using bedrails as enablers on the day of the audit.  Appropriate processes are in place to ensure both enablers and restraints are used in a safe manner.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service has an Infection control coordinator with defined responsibilities.  Reports and surveillance data are discussed at facility meetings.  Results of surveillance are acted upon, evaluated and reported to staff and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1"/>
        <w:gridCol w:w="1280"/>
        <w:gridCol w:w="96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to residents and families.  Information about complaints is provided on admission.  Interviews with five residents (four hospital level and one rest home level) and family members confirmed their understanding of the complaints process.  Care staff interviewed (three caregivers, two registered nurses,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with evidence to confirm that complaints are being managed in a timely manner, including acknowledgement, investigation, meeting time 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complaints received in 2015 (year to date) were managed appropriately and within the required timeframes as determined by the Health and Disability Commissioner.  Complaints are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services provided to the resident and their family on entry to the service and any items they have to pay that is not covered by the agreement.  Regular contact is maintained with family including if an incident or care/health issues arises.  Two families (of hospital level residents) interviewed, stated they were kept well informed.  Ten incident/accident forms were reviewed and identified that next of kin were contacted or if not, justification as to why.  Residents’ meetings are held each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used in the first instance for interpreter services.  The service can also access interpreter services through the Selwyn Foundation.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is owned and governed by a charitable trust and is managed by the Selwyn Foundation.  The facility is guided by a mission statement and associated values.  Communication between the charitable trust and senior leaders from the Selwyn Foundation takes place formally every two – three months (or more frequently if issues arise).  The facility manager reports that the Gracedale charitable trust board members are actively involved in operations (e.g.,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36 residents.  All 36 beds can be used for either rest home or hospital level care.  During the audit there were 35 residents living at the facility, six residents at rest home level of care and twenty-nine residents at hospital level of care.  There were no respite residents and no residents under the medical aspect of this contract.</w:t>
            </w:r>
          </w:p>
          <w:p w:rsidR="00EB7645" w:rsidRPr="00BE00C7" w:rsidP="00BE00C7">
            <w:pPr>
              <w:pStyle w:val="OutcomeDescription"/>
              <w:spacing w:before="120" w:after="120"/>
              <w:rPr>
                <w:rFonts w:cs="Arial"/>
                <w:b w:val="0"/>
                <w:lang w:eastAsia="en-NZ"/>
              </w:rPr>
            </w:pPr>
            <w:r w:rsidRPr="00BE00C7">
              <w:rPr>
                <w:rFonts w:cs="Arial"/>
                <w:b w:val="0"/>
                <w:lang w:eastAsia="en-NZ"/>
              </w:rPr>
              <w:t>An annual business plan documents five key strategies with associated tasks, measures, and responsibilities, which was developed by the Selwyn Foundation.  There is evidence of six-monthly reviews of the business plan.</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overall management of the facility.  He has been in the role since June 2015, is a registered nurse (RN) and has worked in aged care for ten years.  The facility manager reports that he has resigned from his position.  The clinical coordinator/RN and group residential care manager will manage the service while a replacement is sought.  The clinical coordinator has been in her role at this facility for 12 years.  The facility manager and clinical coordinator have maintained a minimum of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Gracedale Hospital implements the Selwyn Foundation quality and risk management framework, which is linked to the organisation’s strategic plan.  The facility implements organisational policies and procedures to support service delivery.  All policies are scheduled for review every two – four years, depending on the nature of the policy.  Policies are available to staff electronically and in hard copy and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adverse events (e.g., complaints, falls, incidents, infections, unwanted events).  Results are benchmarked across all Selwyn aged care facilities.  Where audit results are less than the expected threshold, a corrective action process is put into place.  Quality and risk results are provided to staff, evidenced in the monthly staff and monthly RN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and documented where opportunities for improvements are identified, with evidence of corrective actions being communicated to all staff in meeting minutes.  Management signs off corrective actions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has recently been conducted.  Results were not yet available.  The previous survey results were from November 2013.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risk management plan in place. The risk management plan is generated at head office and is regularly reviewed by the boards.  Health and safety policies and procedures, and a health and safety plan are in place for the organisation.  The facility holds a current tertiary level ACC Work Safety and Management Practice certificate.  The hazard register is regularly reviewed.  All identified hazards include a risk rating, controls that are in place and monitoring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The registered nurse then reviews and investigates the incidents forms.  If risks are identified these are processed as hazards using a hazard identification form.  Accidents and incidents are firmly embedded into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clinical coordinator confirmed their awareness of statutory requirements in relation to essential notification.  This was evidenced during a recent outbreak at the facility with timeframes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Five staff files were reviewed (two caregivers, two registered nurses, one activities officer).  Evidence of signed employment contracts, job descriptions, orientation and training were available for sighting.  Annual performance appraisals for staff were completed.  Newly appointed staff complete an orientation that is specific to their job duties.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Contractual requirements are being met.  Staff complete competency assessments, which are linked to in-services.  Four of ten registered nurses have completed their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certificate in first aid/CPR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facility manager and clinical coordinator are registered nurses.  Both work full-time, Monday – Friday.  Six permanent staff RNs and two casual RN staff are employed.  There is a registered nurse rostered on every shift covering 24 hours a day, seven days a week.  A minimum of six caregivers are scheduled for the am shift and five on the pm shift with two caregivers working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onsite Monday – Friday.  Volunteers and caregiver staff deliver weekend activities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was appropriate and safe.  All residents and families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is managed appropriately in line with required guidelines and legislation.  The RNs are responsible for the administering of medication and complete annual medication competencies.  Annual medication education has been provided.  All medications sighted were within the expiry dates.  There were no residents self-medicating on the day of audit.  The standing orders are current.  Ten medication charts were sampled.  Allergies were documented on the 10 medication charts reviewed.  The previous finding around documentation of allergies has been addressed.  GP prescribing met legislative requirements.  The GP had reviewed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provides all meals from within the facility main kitchen.  A dietitian has reviewed the six-week rotating menu.  Meals are delivered to each of the four dining areas in bain-maries and served by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resident dietary assessments from the RN and is notified of any changes.  The resident likes and dislikes are known.  Alternative choices are offered for dislikes.  Dietary requirements provided include soft/pureed meals, vegetarian and diabetic desserts.  Cultural and religious requirements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contractor is responsible for ensuring compliance with food safety standards including food, fridge and freezer temperatures and ensuring staff have completed food handling training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residents requiring rest home and hospital level of care.  When a resident’s condition alters, the RN initiates a review and if required GP, nurse practitioner or nurse specialist consultation.  Family interviewed confirm their relative’s needs are being met and they are kept informed on any changes to resident conditions.  A telephone and conversation form held in the resident file evidences family notification of any health changes, GP visits and appointments.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Caregivers, the RN and clinical coordinator interviewed stated that they have all the equipment and resources required to safely deliver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plans and evaluation progress notes were in place for three skin tears, one ankle ulcer and three grade 3 pressure areas.  Specialist continence and wound care advice is available as needed and the registered nurses interviewed could describe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officer to implement the activity programme Monday to Friday.  The Selwyn village company diversional therapist oversees the activities programme in all of the Selwyn villages.  A relieving activities officer from the Selwyn bureau is available to cover for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and individual activities (one on one time), are focused on the individual abilities and preferences for both rest home and hospital level of care.  Activities include newspaper reading, exercises, crafts, entertainment, outings and van drives.  The van driver has a current first aid certificate.  Church services are held fortnightly and there are regular pastoral visitors.  Community links are maintained within the community.  The library bus visits frequently.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input is sought to complete a resident profile and lifestyle questionnaire.  Activity plans are reviewed at the same time as the care plans.  Resources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The RN evaluated initial care plans within three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evaluated by the registered nurse and multidisciplinary team at least six-monthly or when changes to care occur for residents.  Resident/family/whānau are invited to provide input into the care plan review.  Short-term care plans were in use for short-term needs and evaluated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30 March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definition of infections.  The infection control coordinator (RN) uses the information obtained through surveillance to plan and determine infection control activities, resources and education needs within the facility.  An infection report form and short-term care plan is completed for the management of a suspected/diagnosed infection.  </w:t>
            </w:r>
          </w:p>
          <w:p w:rsidR="00EB7645" w:rsidRPr="00BE00C7" w:rsidP="00BE00C7">
            <w:pPr>
              <w:pStyle w:val="OutcomeDescription"/>
              <w:spacing w:before="120" w:after="120"/>
              <w:rPr>
                <w:rFonts w:cs="Arial"/>
                <w:b w:val="0"/>
                <w:lang w:eastAsia="en-NZ"/>
              </w:rPr>
            </w:pPr>
            <w:r w:rsidRPr="00BE00C7">
              <w:rPr>
                <w:rFonts w:cs="Arial"/>
                <w:b w:val="0"/>
                <w:lang w:eastAsia="en-NZ"/>
              </w:rPr>
              <w:t>All infections are entered onto a monthly infection analysis form.  Trends (monthly and yearly comparisons) and quality improvements are identified and monitored.  Corrective actions are developed when needed and implemented.  The IC coordinator and GP monitor antibiotic use.  The surveillance of infection data assists in evaluating compliance with infection prevention and control practices.  The data has been monitored and evaluated monthly and annually at facility and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are kept informed on infection rates, trends, corrective actions and quality initiatives relating to infection control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experienced a respiratory infection outbreak in August 2015.  A case log and outbreak management notes were maintained.  Relevant personnel were notified.  There were adequate supplies of personal protective equipment available.  A staff debrief identified the outbreak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position has been delegated to a registered nurse.  She has a clear understanding of her role.  The use of restraint is regarded as a last intervention when all other interventions or calming/defusing strategies have not worked.  There were eight residents with enablers in the form of bed rails in the hospital.  The residents requested these with consent signed by either the resident or their enduring power of attorney (EPOA).  Two residents using enablers with consent provided by the EPOA were interviewed, which confirmed that the use of the enablers (bed rails) were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files were reviewed which confirmed implementation of the assessment, consent, review and monitoring processes.  Enabler use is reviewed each month and is linked to the residents’ care plans.  There was one hospital level resident using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Gracedale Hospital</w:t>
    </w:r>
    <w:bookmarkEnd w:id="58"/>
    <w:r>
      <w:rPr>
        <w:rFonts w:cs="Arial"/>
        <w:sz w:val="16"/>
        <w:szCs w:val="20"/>
      </w:rPr>
      <w:tab/>
      <w:t xml:space="preserve">Date of Audit: </w:t>
    </w:r>
    <w:bookmarkStart w:id="59" w:name="AuditStartDate1"/>
    <w:r>
      <w:rPr>
        <w:rFonts w:cs="Arial"/>
        <w:sz w:val="16"/>
        <w:szCs w:val="20"/>
      </w:rPr>
      <w:t>23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