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Ascot House Limited - Ascot House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Ascot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Ascot House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August 2015</w:t>
      </w:r>
      <w:bookmarkEnd w:id="7"/>
      <w:r w:rsidRPr="009418D4">
        <w:rPr>
          <w:rFonts w:cs="Arial"/>
        </w:rPr>
        <w:tab/>
        <w:t xml:space="preserve">End date: </w:t>
      </w:r>
      <w:bookmarkStart w:id="8" w:name="AuditEndDate"/>
      <w:r w:rsidR="00A4268A">
        <w:rPr>
          <w:rFonts w:cs="Arial"/>
        </w:rPr>
        <w:t>10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Ascot House rest home has been privately owned and operated by experienced managers for the past 16 years.  The service is certified to provide rest home level of care for up to 27 residents with full occupancy on the day of audit.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owner/managers are on-site full time.  They are supported by a nurse manager/registered nurse with experience in medical and rehabilitation nursing.  She has been with the service for four years. </w:t>
      </w:r>
    </w:p>
    <w:p w:rsidRPr="00A4268A">
      <w:pPr>
        <w:spacing w:before="240" w:line="276" w:lineRule="auto"/>
        <w:rPr>
          <w:rFonts w:eastAsia="Calibri"/>
        </w:rPr>
      </w:pPr>
      <w:r w:rsidRPr="00A4268A">
        <w:rPr>
          <w:rFonts w:eastAsia="Calibri"/>
        </w:rPr>
        <w:t xml:space="preserve">The service continues to implement a quality and risk management system that is regularly reviewed.  Residents, families and general practitioner interviewed commented positively on the standard of care and services provided at Ascot House.  </w:t>
      </w:r>
    </w:p>
    <w:p w:rsidRPr="00A4268A">
      <w:pPr>
        <w:spacing w:before="240" w:line="276" w:lineRule="auto"/>
        <w:rPr>
          <w:rFonts w:eastAsia="Calibri"/>
        </w:rPr>
      </w:pPr>
      <w:r w:rsidRPr="00A4268A">
        <w:rPr>
          <w:rFonts w:eastAsia="Calibri"/>
        </w:rPr>
        <w:t>This certification audit identified an improvement required around evaluations of care plans and self-medication management.</w:t>
      </w:r>
    </w:p>
    <w:p w:rsidRPr="00A4268A">
      <w:pPr>
        <w:spacing w:before="240" w:line="276" w:lineRule="auto"/>
        <w:rPr>
          <w:rFonts w:eastAsia="Calibri"/>
        </w:rPr>
      </w:pPr>
      <w:r w:rsidRPr="00A4268A">
        <w:rPr>
          <w:rFonts w:eastAsia="Calibri"/>
        </w:rPr>
        <w:t xml:space="preserve">The service has been awarded a continual improvement (CI) for training and education.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Ascot House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Ascot House continues to implement a quality and risk management system that supports the provision of clinical care.  Quality data is collated for accident/incidents, infection control, internal audits, concerns and complaints and surveys.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on-line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to the service is managed by the owner/manager and the nurse manager.  There is comprehensive service information available.  Initial assessments and care plans are completed by the nurse manager.  Care plans are reviewed by the nurse manager within the required timeframes.  Care plans are written in a way that enables all staff to clearly follow their instructions.  Residents and families confirmed they were involved in the care planning and review process.  General practitioners reviewed residents at least three monthly or more frequently if needed.</w:t>
      </w:r>
    </w:p>
    <w:p w:rsidRPr="00A4268A" w:rsidP="00621629">
      <w:pPr>
        <w:spacing w:before="240" w:line="276" w:lineRule="auto"/>
        <w:rPr>
          <w:rFonts w:eastAsia="Calibri"/>
        </w:rPr>
      </w:pPr>
      <w:r w:rsidRPr="00A4268A">
        <w:rPr>
          <w:rFonts w:eastAsia="Calibri"/>
        </w:rPr>
        <w:t xml:space="preserve">Each resident has access to individual and group activities.  Both the individual and group programmes are varied and interesting.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All staff who administer medications have completed an annual medication competency and medication education.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There is a reactive and planned maintenance schedule in place.  Chemicals are stored safely throughout the facility.  There is sufficient space to allow the movement of residents around the facility using mobility aids.  There are sufficient lounge and dining areas throughout the facility.  The internal areas are able to be ventilated and heated.  The outdoor areas are safe and easily accessible.  Cleaning staff is providing appropriate services.  Staff have planned and implemented strategies for emergency management.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the use of enablers or restraints.  The nurse manager/registered nurse is the restraint coordinator.  There are no residents using enablers or restraints.  Staff receive training in restraint and managing challenging behaviour as part of the education plan.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the nurse manager/registered nurse.  There is a suite of infection control policies and guidelines that meet infection control standards.  Staff receive annual infection control education.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2"/>
        <w:gridCol w:w="1280"/>
        <w:gridCol w:w="89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Ascot House rest home has policies and procedures that align with the requirements of the Code of Health and Disability Services Consumer Rights (the Code).  Two caregivers and one nurse manager/registered nurse (RN) were able to describe how they incorporate resident choice into their activities of daily living.  The service actively encourages residents to have choices and this includes voluntary participation in daily activities as confirmed on interview with seven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included in the admission agreement and additional consents are signed by the resident or their EPOA.  The admission agreements have been signed on admission in the sample of files reviewed.  Advanced directives sighted in the six resident files were signed appropriately.  The caregivers and the registered nurse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on admission.  Interviews with residents and family confirmed they were aware of their right to access advocacy.  Advocacy pamphlets are displayed in the main corridor.  Advocacy is regularly discussed at resident meetings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Residents confirm the staff help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owner/manager leads the investigation of concerns/complaints.  Complaints forms are visible for relatives/residents.  A complaints procedure is provided to residents within the information pack at entry.  The service has responded appropriately to one internal complaint in 2014.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and residents are informed of any liability for payment of items not included in the scope of the service.  This is included in the service agreement.  Seven residents and three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 where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stored securely.  There are clear instructions provided to residents on entry regarding responsibilities of personal belonging in their admission agreement.  Personal belongings were documented in the six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Ascot House has a Māori health plan and a cultural safety policy that includes a description of how they will achieve the requirements set out in A3.1 (a) to (e).  Currently there are no residents who identify as Māori.  Linkages with Māori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further discussed and incorporated into the care plan.  Six care plans sampled included the residents’ values, spiritual and cultural beliefs.  Six monthly reviews occur to assess if the residents needs are being met.  Discussion with family and residents confirm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five staff files sampled.  Staff comply with confidentiality and the code of conduct.  The RN and allied health professionals practice within their scope of practice.  Management and staff meetings include discussions on professional boundaries and concerns/complaints as they arise (minutes sighted).  Interviews with the two owner/managers, the nurse manager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Ascot House policies and procedures meet the health and disability safety sector standards.  Staff state they are made aware of new/reviewed policies and sign to say they have read them.  An environment of open discussion is promoted.  Staff report the owner/managers and nurse manager are approachable and supportive.  Allied health professionals are available to provide input into resident care.  Staff complete relevant workplace competencies.  The nurse manager/RN has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and for residents who do not have any family to notify.  The owner/manager and nurse manager confirm family are kept informed.  Relatives stated they are notified promptly of any incidents/accidents.  Families receive newsletters that keep them informed on facility matters and events.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Ascot House rest home provides care for up to 27 rest home level of care residents.  On the day of audit, there were 27 residents which included one younger person under a long-term chronic health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The service has quality goals, which are reviewed monthly at the management meetings.  The owner/operators have owned Ascot House for the past 16 years.  The experienced owner/operators are supported by a nurse manager/registered nurse who has been with the service for four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owner/managers have attended at least eight hours of professional development including regional provider meetings, aged care provider conference, elder law conference, manager InterRAI forum and on-site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provides cover in the absence of the owner/managers as required.  The service employs two casual RNs who are available to cover for the nurse manager’s leave.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documentation, policies and procedures and from discussion with staff, identified that the service has operational management strategies, quality assurance programme that includes culturally appropriate care, to minimise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Ascot House is implementing a quality and risk management system.  The provider completes monthly reviews against service goals.  Improvements for the period March 2014 to March 2015, include (but not limited to); a) new carpet throughout the whole facility, b) rebuild of retaining wall and boundary fence, c) aerial installation for Freeview and Sky, d) hallways widened and communal areas refurbished, e) replacement items purchased and new equipment such as four electric beds and carpet cleaning machine purchased, f) installation of electronic medication system and g) implementation of on-line training system.  Goals for 2015 – 2016 include upgrade of bathrooms, seasonal garden planting and linking the InterRAI system to the existing computer software used for administration and care plan records.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management and staff meeting minutes sighted evidence staff discussion around accident/incident data, health and safety, infection control, audit outcomes, concerns and survey feedback.  The service enters accident/incident and infection control data into an on-line quality assurance programme.  Monthly comparisons, trends and graphs are displayed for staff information.  The nurse manager and two caregivers interviewed were aware of quality data results,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conducted for food satisfaction, resident satisfaction and next of kin satisfaction.  Results have been collated and results fed back to participants and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Any areas for improvement are identified and implemented.  A monthly summary of internal audit outcomes is provided to the management and staff meetings for discussion.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health and safety representative (owner/manager) is responsible for health and safety education, internal audits and non-clinical accident/incident investigation.  There is a current hazard register.  Staff confirm they are kept informed on health and safety matters at meetings and on the staff health and safety notice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accident/incident forms for the month of June 2015 were sampled.  There has been RN notification and clinical assessment completed within a timely manner.  Accidents/incidents were recorded in the resident progress notes in the electronic resident information system.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staff meeting.  Staff interviewed confirm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contained all relevant employment documentation.  Current practising certificate was sighted for the nurse manager and allied health professionals.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over a two year period.  An on-line education programme was implemented in March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attended InterRAI training in 2014.  Clinical staff complete competencies relevant to their role including medication, and safe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owner/managers are on-site full time and available after hours.  The nurse manager is on duty 30 hours per week and on-call.  There are two casual RNs to provide cover for the RN’s annual leave.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held on the electronic resident information system.  All resident records containing personal information is kept confidential.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were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computer based system is accessed by staff.  Information is protected and stored on the “cloud” which is accessible from another site should there be a prolonged power failure.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including the admission process and entry to the service.  The nurse manager in consultation with the owner/manager screens all potential residents prior to entry and records all admission enquires.  Residents and relatives confirmed they received information prior to admission and had the opportunity to discuss the admission agreement with the owner/manager.  The admission agreement in use aligns with the requirements of the ARC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computerised recording system, Medimap and individualised medication blister packs for regular and as required (PRN) medications.  Twelve medication charts were reviewed.  All charts were correctly charted with allergies documented, and photograph identification in place.  The nurse manager and caregivers completed annual medication competencies and medication education.  The nurse manager was able to describe her role in regard to medicine administration.  There was one self-medicating resident at the time of the audit.  The self-medicating policy and practice do not reflect current Ministry of Health medication guidelines.  All other policies and procedures in place for safe medicine management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of 12 medication charts reviewed evidenced that the GP has reviewed the resident’s medication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Advised that medications are checked on delivery against the medication chart.  Medication trolleys, fridge and cupboard stock contents were all within expiry dates and all eye drops were dated on opening.  Medication administration practice was observed to be compliant.  As required medications have the date and time of administration on the signing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The cook liaises with the nurse manager and care staff regarding resident meal requirements.  The kitchen staff have completed food safety training.  The cook follows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  Potential clients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Relevant assessment tools were completed and the outcome of assessments formed the basis of the care plan.  Assessments were reviewed at least six monthly or when there was a change to a resident’s health condition in files sampled.  All residents at Ascot House have InterRAI assessments completed.  The nurse manager has received training in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and long-term care plans were completed in all of the residents’ files sampled, within the stated timeframes.  There was evidence of changes to the care plan when health status changed.  Six of six care plans reviewed were resident-centred and documented care and support needs.  The long-term care plans reviewed described the support required to meet the resident’s goals and needs and identified allied health involvement.  Residents and their family were involved in the care planning and review process in files sampled.  Short-term care plans are in use for changes in health status.  Staff reported they found the care plans contained all the information required to deliver safe and timely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 care delivery and support by staff is consistent with their expectations.  Family communication was documented in six out of six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follow the plan and report progress against the plan each shift.  When a resident’s condition changes the RN initiates a GP visit or nurse specialist consultation.  Staff have access to sufficient medical supplies (for example dressings).  Sufficient continence products are available and resident files include a continence assessment and plan.  Specialist continence advice is available as needed and this could be described.  Wound assessments, monitoring and wound management plans were in place for three residents with wounds, which were appropriately managed.  The wounds include a chronic ulcer, a skin tear and a graze.  Specialist wound management advice is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activities coordinator who works 24 hours a week over three days.  The activity coordinator attends regional diversional therapy meetings.  The service has a weekly programme and activities were observed occurring.  Care staff and volunteers are also involved in activities.  A van is available for residents’ outings.  Community links are maintained with groups and individual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bingo, newspaper reading, exercise, memory games, singing, van outings and bowls.  An activity plan is developed for each resident and the residents are encouraged to join in activities that are appropriate and meaningful.  Resident meetings were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plans were reviewed at the same time as the clinical care plans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One of six files sampled the long-term care plans had been evaluated at least six monthly against stated goals.  There was at least a three monthly review by the GP in these files.  All changes in health status were documented and followed up.  Short-term care plans were evaluated and resolved, or added to the long-term care plan if the problem is ongoing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 manager initiates referrals to nurse specialists and allied health services.  Other specialist referrals were made by the GP.  Referrals and options for care were discussed with the family as evidenced in interviews and medical notes.  The nurse manager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14 June 2016.  Electrical equipment is checked annually.  Medical equipment has been calibrated by an authorised technician.  The building has a lounge and dining room.  There are a number of small seating areas both indoors and outside the facility.  The owner/manager is managing the reactive and planned maintenance programme.  Hot water temperatures are monitored and managed within 43-45 degrees Celsius.  The facility has sufficient space for residents to mobilise using mobility aids.  The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Three double rooms have privacy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lounge and separate dining area.  The communal areas are easily and safely accessible for residents.  There is also a number of smaller siting areas.  The outside area is safe and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by dedicated staff.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evacuation plan dated 27 May 2000.  Six monthly fire drills are held.  One owner/manager is the health and safety person and provides staff training in emergency management.  There is at least one first aider on duty at all times.  There is an emergency plan and disaster preparedness policies and procedures.  There is adequate water store, food supply, barbeques and civil defence equipment available in the event of an emergency.  There is a generator on site and battery back-up for call bells.  The call bell system is available in all bedrooms, bathrooms and communal areas.  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nurse manager/registered nurse.  The infection control coordinator job description has identified delegated responsibility for infection control within the service.  The infection control coordinator provides a monthly report to management and staff.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have been unwell.  Influenza vaccines are offered to residents and staff.  There are hand sanitizers throughout the facility and adequate supplies of personal protective equipment.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(registered nurse) manages infection control.  The infection control coordinator has attended external education in the last year.  The infection control coordinator has access to infection control personnel within the district health board, gerontology nurse specialist,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October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by a gerontology nurse specialist.  Staff have also completed on-line training in infection control.  Staff receive education on orientation and one on 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nurse manager is the restraint coordinator and has a job description that defines responsibilities of the role.  The restraint approval group (nurse manager, senior caregiver and GP) meet six monthly.  Staff complete restraint and challenging behaviour on-line training.  Restraint/enablers are discussed at 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7"/>
        <w:gridCol w:w="1280"/>
        <w:gridCol w:w="3240"/>
        <w:gridCol w:w="4911"/>
        <w:gridCol w:w="15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facilitated to self-medicate if they have been deemed competent to do so.  One resident who currently self-medicates has medications stored securely.  Staff check each shift that medications have been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Self-medicating policy and practice does not reflect current Ministry of Health guidelines for one self-medicating resident.  The resident is provided with night time pain relief to take when required.  There is no system of ensuring that the resident has safely ingested the medication, and self-administration competency has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self-medicating policy and practice reflects current Ministry of Health medication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six out of six files, changes in health care status or care are transferred to the interventions of the care plan.  In six out of six files reviewed short term care plans were evaluated and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of long term care plans being evaluated against resident centred goals in three of six resident files sampled (three residents had not been at the service for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long-term care plans are evaluated against resident centred goals at least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2985"/>
        <w:gridCol w:w="8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on-line training programme covers the required learning and education requirements.  Education in emergency management and fire safety is provided by the owner/manager responsible for health and safety.  Other education provided included Treaty of Waitangi, management of urinary tract infections, cardiac disease, gastro-intestinal disease, pain management, fire and emergency training.  A physiotherapist has provided safe manual training for care staff.  A gerontology nurse is available for clinical education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opportunity to increase staff participation in education sessions.  This goal has been included into the annual service quality goals.  An on-line training programme was implemented which involved the staff member accessing the on-line programme, reading the content and completing a questionnaire.  There is one topic per month.  The staff can access the programme at work or from home.  The nurse manager is an approved on-line assessor and staff forward their completed questionnaires to the nurse manager for marking.  The nurse manager meets with individual staff to discuss their results and ensures the staff member fully understands the learning objectives.  Certificates were presented for each completed module.  Individual training records are maintained and there was documented evidence of increased staff participation.  A review of the quality goal in July 2015 stated there had been an excellent response in staff participation in the on-line programme with all 14 care staff having completed the on-line training programme.  An internal audit completed July 2015 identified the on-line education programme is flexible in time and place to access the programme and is of particular benefit for night staff and nursing students.  The nurse manager states that staff can work at their own pace to complete one module per month and there is an opportunity to meet the staff members individually to assess their level of comprehension and discuss learning objectives.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Ascot House Limited - Ascot House Retirement Home</w:t>
    </w:r>
    <w:bookmarkEnd w:id="58"/>
    <w:r>
      <w:rPr>
        <w:rFonts w:cs="Arial"/>
        <w:sz w:val="16"/>
        <w:szCs w:val="20"/>
      </w:rPr>
      <w:tab/>
      <w:t xml:space="preserve">Date of Audit: </w:t>
    </w:r>
    <w:bookmarkStart w:id="59" w:name="AuditStartDate1"/>
    <w:r>
      <w:rPr>
        <w:rFonts w:cs="Arial"/>
        <w:sz w:val="16"/>
        <w:szCs w:val="20"/>
      </w:rPr>
      <w:t>10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