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Carter Society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Carter Society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Carter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2015</w:t>
      </w:r>
      <w:bookmarkEnd w:id="7"/>
      <w:r w:rsidRPr="009418D4">
        <w:rPr>
          <w:rFonts w:cs="Arial"/>
        </w:rPr>
        <w:tab/>
        <w:t xml:space="preserve">End date: </w:t>
      </w:r>
      <w:bookmarkStart w:id="8" w:name="AuditEndDate"/>
      <w:r w:rsidR="00A4268A">
        <w:rPr>
          <w:rFonts w:cs="Arial"/>
        </w:rPr>
        <w:t>3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Carter Court Rest Home is owned and operated by Carter Society Incorporated, a charitable trust, and provides aged residential care at rest home level in Carterton in the Wairarapa. On the day of audit there were 29 residents. The service is managed by a manager appointed by the Carter Society. All residents and families interviewed spoke positively about the care and support provided.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provider’s contract with the district health board. The audit process included a review of staff files and clinical documentation, interviews with residents, management and staff as well as observations. </w:t>
      </w:r>
    </w:p>
    <w:p w:rsidRPr="00A4268A">
      <w:pPr>
        <w:spacing w:before="240" w:line="276" w:lineRule="auto"/>
        <w:rPr>
          <w:rFonts w:eastAsia="Calibri"/>
        </w:rPr>
      </w:pPr>
      <w:r w:rsidRPr="00A4268A">
        <w:rPr>
          <w:rFonts w:eastAsia="Calibri"/>
        </w:rPr>
        <w:t>One area requiring improvement was identified relating to appropriate recording in the clinical files.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disclosure principles were demonstrated. Incident reports, progress notes and family communication records verify that family are notified when appropriate. Informed consent policy and processes are explained to residents and families/whanau and are implemented by the service. </w:t>
      </w:r>
    </w:p>
    <w:p w:rsidRPr="00A4268A">
      <w:pPr>
        <w:spacing w:before="240" w:line="276" w:lineRule="auto"/>
        <w:rPr>
          <w:rFonts w:eastAsia="Calibri"/>
        </w:rPr>
      </w:pPr>
      <w:r w:rsidRPr="00A4268A">
        <w:rPr>
          <w:rFonts w:eastAsia="Calibri"/>
        </w:rPr>
        <w:t>There is a compliments and complaints process which is made available to all residents and families/whanau. Staff receive training in this process at induction. The current complaints register is monitored by the management group at their monthly meetings. At the time of audit there were no complaints with the Health and Disability Commissioner and all complaints in the register had been managed within the time frames required by the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executive committee of the Carter Society regularly reviews the organisational purpose, scope, values and goals. There is a well-developed quality management system which includes a quality plan and a risk management plan. The quality, health and safety coordinator maintains the document management system, with input from the management team. All staff are involved in the review and development of policies and procedures which are current.  Quality data is collected which is then collated, analysed and reported to the management group, all staff and the executive committee. Any trends or systemic issues are identified and addressed. There is regular monitoring of service delivery throughout the year through the internal audit programme.</w:t>
      </w:r>
    </w:p>
    <w:p w:rsidRPr="00A4268A">
      <w:pPr>
        <w:spacing w:before="240" w:line="276" w:lineRule="auto"/>
        <w:rPr>
          <w:rFonts w:eastAsia="Calibri"/>
        </w:rPr>
      </w:pPr>
      <w:r w:rsidRPr="00A4268A">
        <w:rPr>
          <w:rFonts w:eastAsia="Calibri"/>
        </w:rPr>
        <w:t>An effective system for human resources management ensures staff are recruited, selected and appointed following appropriate employment procedures. Performance appraisals are conducted annually and are up to date. Professional registration and practising certificates for health professionals who work at Carter Court Rest Home are monitored and all are current.</w:t>
      </w:r>
    </w:p>
    <w:p w:rsidRPr="00A4268A">
      <w:pPr>
        <w:spacing w:before="240" w:line="276" w:lineRule="auto"/>
        <w:rPr>
          <w:rFonts w:eastAsia="Calibri"/>
        </w:rPr>
      </w:pPr>
      <w:r w:rsidRPr="00A4268A">
        <w:rPr>
          <w:rFonts w:eastAsia="Calibri"/>
        </w:rPr>
        <w:t>Staffing rosters meet the contractual requirements for registered nurse hours. Enrolled nurses and health care assistants are all appropriately trained in the support of older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All residents’ files sighted provided evidence that needs, goals and outcomes were identified and reviewed on a regular basis and within required timeframes, however interventions in care plans did not always describe the required support needed to meet the residents’ needs and this is an area requiring improvement.   Residents and families interviewed reported being well informed and involved, and that the care provided was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were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which expires on 30 June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is restraint free. Enablers are used if requested by residents to support independence and maintaining safety. All required policies and procedures are in place should they be needed at any time.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was occurring according to the descriptions of the process in the programme. Data on the nature and frequency of identified infections has been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1"/>
        <w:gridCol w:w="1280"/>
        <w:gridCol w:w="98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detailed complaints and compliments policy and procedure that complies with Right 10 of the Health and Disability Commissioner’s Code of Health and Disability Services Consumers’ Rights (the Code). Training for all staff around the Code is included in the induction programme with ongoing training regularly scheduled. The manager is advised immediately if a complaint is received and the process as outlined in the policy is instigated.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reviewed and all complaints received had followed the required process and had been resolved satisfactorily. Documentation was filed in the register. A number of compliments had also been received and recorded in the past six months. Residents were aware of how to make a complaint and staff were also clear on how to provide support for residents who had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provided by Carter Court reflect an environment of effective communication with residents and their families. The service has open disclosure and informed consent policies which provide guidance to staff around the principles and practice of open disclosure and informed consent. Staff confirmed they understand that relatives and residents must be informed of any incidents/accidents or changes in care provision. The files reviewed confirmed this. Residents and family interviewed confirmed communication with staff was open and effective, that they were always consulted and informed of any untoward event or change in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Currently no residents need interpreter services, however if these are required at any time they are accessed from the national interpreting service via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values, purpose, scope, directions and goals are clearly documented and were last reviewed by the governing body, the Carter Society, in 2014.</w:t>
            </w:r>
          </w:p>
          <w:p w:rsidR="00EB7645" w:rsidRPr="00BE00C7" w:rsidP="00BE00C7">
            <w:pPr>
              <w:pStyle w:val="OutcomeDescription"/>
              <w:spacing w:before="120" w:after="120"/>
              <w:rPr>
                <w:rFonts w:cs="Arial"/>
                <w:b w:val="0"/>
                <w:lang w:eastAsia="en-NZ"/>
              </w:rPr>
            </w:pPr>
            <w:r w:rsidRPr="00BE00C7">
              <w:rPr>
                <w:rFonts w:cs="Arial"/>
                <w:b w:val="0"/>
                <w:lang w:eastAsia="en-NZ"/>
              </w:rPr>
              <w:t>The executive committee meets monthly with the manager, who provides comprehensive reports on the operational side of the business. Monthly meetings are also held with the management group and the quality, health and safety group to monitor and review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been in the role for four and a half years and has had significant previous experience in the health and disability sector. Support is provided by the nurse manager and the quality, health and safety coordinator who also have significant sector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well-documented quality and risk plan and procedures in place to monitor the plan. All policies and procedures are reviewed regularly in a staged rolling process with appropriate staff consultation. All incidents and accidents, complaints, infections and health and safety data is collected and analysed and forms the basis for quality improvement activity. This process is managed by the quality, health and safety coordinator who reports to management and staff on a regular basis. The health and safety and the management committee meet each month to review the data and formulate any corrective actions that may be indicated. An internal audit programme also feeds into this process. </w:t>
            </w:r>
          </w:p>
          <w:p w:rsidR="00EB7645" w:rsidRPr="00BE00C7" w:rsidP="00BE00C7">
            <w:pPr>
              <w:pStyle w:val="OutcomeDescription"/>
              <w:spacing w:before="120" w:after="120"/>
              <w:rPr>
                <w:rFonts w:cs="Arial"/>
                <w:b w:val="0"/>
                <w:lang w:eastAsia="en-NZ"/>
              </w:rPr>
            </w:pPr>
            <w:r w:rsidRPr="00BE00C7">
              <w:rPr>
                <w:rFonts w:cs="Arial"/>
                <w:b w:val="0"/>
                <w:lang w:eastAsia="en-NZ"/>
              </w:rPr>
              <w:t>Staff are included in all quality initiatives and report that they receive regular updates and are involved in the implementation of quality activity.  Regular resident meetings are also held to ensure input from residents is included in the system. Meeting minutes reviewed reflected the process is being followed across all quality indicators. A recent initiative underway is a project aimed to reduce the number of falls. This was identified from data collected over the past few months. Data collection includes the time and place where falls were occurring as well as the person and any other contributing factors. Strategies to address the increased fall rate are currently in place and progress reporting is occurring across the organisation. Staff training is provided to support these initiatives.</w:t>
            </w:r>
          </w:p>
          <w:p w:rsidR="00EB7645" w:rsidRPr="00BE00C7" w:rsidP="00BE00C7">
            <w:pPr>
              <w:pStyle w:val="OutcomeDescription"/>
              <w:spacing w:before="120" w:after="120"/>
              <w:rPr>
                <w:rFonts w:cs="Arial"/>
                <w:b w:val="0"/>
                <w:lang w:eastAsia="en-NZ"/>
              </w:rPr>
            </w:pPr>
            <w:r w:rsidRPr="00BE00C7">
              <w:rPr>
                <w:rFonts w:cs="Arial"/>
                <w:b w:val="0"/>
                <w:lang w:eastAsia="en-NZ"/>
              </w:rPr>
              <w:t>The risk management plan 2015-16 identifies organisational risk and management strategies aimed to minimise any impact. This is monitored and reviewed regularly by the governance finance and audit committee. All relevant risks are communicated to residents and families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management policy and procedures document the process for reporting and recording all adverse events. A standard form is in use. The adverse event reporting system provided evidence of a planned and co-ordinated process. Staff document adverse, unplanned or untoward events on an incident/accident form which are then recorded in the quality system database. These are then filed in relevant residents’ files and the facility register. All incidents are reviewed and analysed at the monthly quality meetings and any corrective actions identified that could improve service delivery and mitigate any risks are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for the previous month was reviewed and all reports followed the required process with all actions and outcomes recorded, including notification of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including health and safety, human resources and infection control.  The manager demonstrated a clear understanding of what is required for essential notification reporting and the appropriate authorities to contact.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described human resources management system which includes the recruitment and appointment of employees, orientation, training and on-going education, performance development and management and for associated good employment practices.</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within the service is documented in job descriptions which outline accountability, responsibilities and authority. These are reviewed on staff files along with reference checking, criminal record vetting, interview questionnaires, employment agreements, completed induction training and competency assessments.</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during recruitment. A copy of the annual practising certificate (APC) for all qualified nurses employed by Carter Court is kept on their personnel file. All files reviewed had the appropriate qualifications recorded. A copy of all current APC’s for the pharmacist, podiatrist, doctors and allied health professionals are also kept in a separate file which was reviewed. Additional competencies are also monitored, including medication management competencies for all team leaders.</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education programme which includes modules on restraint, the Code, infection prevention and control, challenging behaviours, wound care, nutrition and continence. An induction programme is completed for all staff and covers the core aspects of the person's position as well as the essential aspects of service delivery which are the responsibility of all staff members. This includes fire safety; rights and responsibilities; informed consent; dignity, privacy and respect of residents and their property; the society's mission and purpose; standard precautions and hand hygiene. A new staff member confirmed the induction programme facilitated a comprehensive introduction to the work and the facility and was very thorough.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members interviewed reported they had received appropriate training to be able to do their jobs safely and well. Individual training records are kept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satisfaction with staff who they felt were well trained, competent and 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completes all the rosters for the facility. The rostering template used ensures the allocation for hours and staff meet the required levels to reflect the needs of the residents who are currently in Carter Court. </w:t>
            </w:r>
          </w:p>
          <w:p w:rsidR="00EB7645" w:rsidRPr="00BE00C7" w:rsidP="00BE00C7">
            <w:pPr>
              <w:pStyle w:val="OutcomeDescription"/>
              <w:spacing w:before="120" w:after="120"/>
              <w:rPr>
                <w:rFonts w:cs="Arial"/>
                <w:b w:val="0"/>
                <w:lang w:eastAsia="en-NZ"/>
              </w:rPr>
            </w:pPr>
            <w:r w:rsidRPr="00BE00C7">
              <w:rPr>
                <w:rFonts w:cs="Arial"/>
                <w:b w:val="0"/>
                <w:lang w:eastAsia="en-NZ"/>
              </w:rPr>
              <w:t>The rosters for the current two week period were reviewed.  These all showed sufficient staff levels and skill mixes were in place to meet the residents’ needs. The facility has a number of causal staff who are available to cover for any absences in addition to the on call nursing cover which is in place overnight.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comprehensive and identifies all aspects of medicine management. The use of a software system to manage the charting of medications has recently been implemented at Carter Court. Reports verified administration records and three monthly GP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a separate locked cupboard.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is authorised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family/whanau interviews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members expressed satisfaction with the care provided. Observations and interviews verified the provision of care provided to residents was consistent with residents’ needs and desired outcomes; however documentation in some files reviewed was unable to support this and this is an area identified as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reflected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management are responsive to requests.  Interviews and observation verified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daily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are carried out by the RN, to measure the degree of a resident’s response in relation to desired outcomes and goals occur every six months, or as residents’ needs change.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BWOF expires on June 30 2016. There have been no changes to the buildings since the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the infection prevention and control policy and procedures, monthly surveillance is occurring.  These are collated each month and analysed to identify any significant trends or possible causative factors.  Incidents of infections are presented at the management and staff meeting every month.  Any ongoing actions required are presented and any necessary corrective actions discussed, as evidenced by meeting records, infection control records and staff interviews.  Any immediate action required is presented to staff at hand over. Incidents of infections are graphed and on display in the staff room.  A comparison of previous infection rates is used to analyse the effectiveness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episodes of restraint in the two years the current nurse manager has been in the role. Restraint would only ever be used as a last resort option and appropriate systems are in place should this occur.  While there are no enablers in use at present, the clinical staff are aware of the need to respond to any requests from residents should they wish to use enablers for their personal safety. They will assist with queries and ensure appropriate enablers are provided. A restraint/enabler committee is in place to review all requests.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1280"/>
        <w:gridCol w:w="4276"/>
        <w:gridCol w:w="2183"/>
        <w:gridCol w:w="18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three of five care plans reviewed, did not always describe the required support needed to meet the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not always consistent with meeting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consistent with meeting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Carter Society Incorporated</w:t>
    </w:r>
    <w:bookmarkEnd w:id="58"/>
    <w:r>
      <w:rPr>
        <w:rFonts w:cs="Arial"/>
        <w:sz w:val="16"/>
        <w:szCs w:val="20"/>
      </w:rPr>
      <w:tab/>
      <w:t xml:space="preserve">Date of Audit: </w:t>
    </w:r>
    <w:bookmarkStart w:id="59" w:name="AuditStartDate1"/>
    <w:r>
      <w:rPr>
        <w:rFonts w:cs="Arial"/>
        <w:sz w:val="16"/>
        <w:szCs w:val="20"/>
      </w:rPr>
      <w:t>3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