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Joans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Intellectual;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April 2015</w:t>
      </w:r>
      <w:bookmarkEnd w:id="7"/>
      <w:r w:rsidRPr="009418D4">
        <w:rPr>
          <w:rFonts w:cs="Arial"/>
        </w:rPr>
        <w:tab/>
        <w:t xml:space="preserve">End date: </w:t>
      </w:r>
      <w:bookmarkStart w:id="8" w:name="AuditEndDate"/>
      <w:r w:rsidR="00A4268A">
        <w:rPr>
          <w:rFonts w:cs="Arial"/>
        </w:rPr>
        <w:t>22 April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Waipuna is part of the Radius Residential Care Group. Radius Waipuna provides care across three service levels (hospital,rest home and residential disability – physical level care) for up to 58 resdients. On the day of the audit there were 49 residents. The facility manager and clinical manager (both registered nurses) are new to the service since previous audit.  They both have previous experience in aged care.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There have been a number of improvements to the environment since previous audit including re-decorating of bedrooms, upgrading of bathrooms and new furniture.</w:t>
      </w:r>
    </w:p>
    <w:p w:rsidRPr="00A4268A">
      <w:pPr>
        <w:spacing w:before="240" w:line="276" w:lineRule="auto"/>
        <w:rPr>
          <w:rFonts w:eastAsia="Calibri"/>
        </w:rPr>
      </w:pPr>
      <w:r w:rsidRPr="00A4268A">
        <w:rPr>
          <w:rFonts w:eastAsia="Calibri"/>
        </w:rPr>
        <w:t>The service has addressed five of six shortfalls from their previous certification around EPOA’s, neurological observations, aspects of care planning, transcribing and discontinued medications, facility upgrade and external pathways and gardens. An improvement continues to be required around pain assessments.</w:t>
      </w:r>
    </w:p>
    <w:p w:rsidRPr="00A4268A">
      <w:pPr>
        <w:spacing w:before="240" w:line="276" w:lineRule="auto"/>
        <w:rPr>
          <w:rFonts w:eastAsia="Calibri"/>
        </w:rPr>
      </w:pPr>
      <w:r w:rsidRPr="00A4268A">
        <w:rPr>
          <w:rFonts w:eastAsia="Calibri"/>
        </w:rPr>
        <w:t xml:space="preserve">This audit identified an improvement required around the documentation of interventions to reflect the resident’s current needs and stock medication checks.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are in place that meet with the requirements of the Health and Disability Commissioner (HDC) Code of Health and Disability Services Consumers' Rights (the Code). Information on the complaints process is made available to residents/family the time of admission and is available in the entranceway.  All concerns and complaints have been managed appropriately.  The complaints register is up-to-date.  Residents and families interviewed state they are kept informed on all health related matters.   The previous finding around copies of EPOA on resdients file has been addressed.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Radius Waipuna is part of the Radius group and as such, there are organisational wide processes to monitor performance.  The service is managed by appropriately trained personnel.  There is a quality system that is being implemented in line with the business plan.  Quality/staff  meetings are used to monitor quality activities such as internal audits, complaints/concerns, health and safety, infection control and restraint. There is an adverse event reporting system implemented at Radius Waipuna and monthly data collection monitors predetermined indicators. There is a human resource manual to guide practice. There is an annual education programme which covers mandatory requirements.  There is a documented rationale for staffing the service. Staffing rosters were sighted and resdiets, families ad staff confrim there are adequate staff on duty.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Initial assessments and care plans were developed within the required timeframes.  The sample of residents' records reviewed provided evidence that the provider has systems to assess, plan and evaluate care needs of the residents.  The residents' needs, interventions, outcomes/goals have been identified and these are reviewed with the resident and/or family/whanau input.  Care plans are reviewed six monthly.  There is a requirement to document interventions to reflect the resident’s current needs.    </w:t>
      </w:r>
    </w:p>
    <w:p w:rsidRPr="00A4268A" w:rsidP="00621629">
      <w:pPr>
        <w:spacing w:before="240" w:line="276" w:lineRule="auto"/>
        <w:rPr>
          <w:rFonts w:eastAsia="Calibri"/>
        </w:rPr>
      </w:pPr>
      <w:r w:rsidRPr="00A4268A">
        <w:rPr>
          <w:rFonts w:eastAsia="Calibri"/>
        </w:rPr>
        <w:t xml:space="preserve">Medication documentation and policies reflect legislative requirements.  Education and medicines competencies are completed by staff responsible for administration of medicines.  The previous finding around transcribing and discontinuation of medications have been addressed.  </w:t>
      </w:r>
    </w:p>
    <w:p w:rsidRPr="00A4268A" w:rsidP="00621629">
      <w:pPr>
        <w:spacing w:before="240" w:line="276" w:lineRule="auto"/>
        <w:rPr>
          <w:rFonts w:eastAsia="Calibri"/>
        </w:rPr>
      </w:pPr>
      <w:r w:rsidRPr="00A4268A">
        <w:rPr>
          <w:rFonts w:eastAsia="Calibri"/>
        </w:rPr>
        <w:t xml:space="preserve">The activities programme provides varied options and activities that meet the abilities of each consumer group.  Each resident has an individualised plan.  Community activities are encouraged and van outings are arranged. Resident files include notes by the general practitioner and allied health professionals.  </w:t>
        <w:br/>
        <w:br/>
        <w:t>All food is cooked on site by the cook.  The menu has been reviewed by a dietitian.  All residents' nutritional needs are identified, documented and choices provided.  Food and fridge temperatures are recorded.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has been ongoing upgrading of bathrooms and bedrooms.  The external areas and gardens are well maintained.  The previous findings around facility upgrade and maintenance of external areas has been addressed.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consent processes and the use of enablers.  There are currently three residents using enablers and three residents using restraint.  Staff receive training in restraint and managing challenging behaviour as part of the annual training plan.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an infection control policy that includes surveillance activities.  Infections are reported and collated monthly.  Infections and internal audit outcomes are discussed as part of the quality/staff meetings.  Information is available to staff.  The surveillance programme is appropriate to the size and complexity of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1"/>
        <w:gridCol w:w="1280"/>
        <w:gridCol w:w="100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resident files sampled (one rest home, one young disabled and three hospital) evidenced a copy of the enduring power of attorney.  The previous finding at certification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practice which aligns with Right 10 of the Code.  The Privacy Officer (manager) leads the investigation of non-clinical and clinical concerns/complaints.  There is an up-to-date complaints register.  There have been three verbal and five written complaints in the last year.  Appropriate action has been taken within the required timeframes and to the satisfaction of the complainants.  Complaints forms are visible.  Management operate an “open door” policy.  Families and residents (two hospital and two rest home) confirm they are aware of the complaints process and management are approachable. </w:t>
            </w:r>
          </w:p>
          <w:p w:rsidR="00EB7645" w:rsidRPr="00BE00C7" w:rsidP="00BE00C7">
            <w:pPr>
              <w:pStyle w:val="OutcomeDescription"/>
              <w:spacing w:before="120" w:after="120"/>
              <w:rPr>
                <w:rFonts w:cs="Arial"/>
                <w:b w:val="0"/>
                <w:lang w:eastAsia="en-NZ"/>
              </w:rPr>
            </w:pPr>
            <w:r w:rsidRPr="00BE00C7">
              <w:rPr>
                <w:rFonts w:cs="Arial"/>
                <w:b w:val="0"/>
                <w:lang w:eastAsia="en-NZ"/>
              </w:rP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Eight of eight accident/incident forms reviewed for January 2015 identify family were notified following a resident incident.  The clinical manager and facility manager confirm family are kept informed.  Family interviewed (two hospital and two of younger person with disability) confirm they are notified promptly of any incidents/accidents.  There is access to an interpreter services.  Two monthly resident meetings are held.  Meeting minutes sighted evidence residents are kept informed on facility matters, health related matters including education as appropriate and are encouraged to discuss any concerns and provide feedback on services.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D16.1b.ii: The residents and family are informed prior to entry of the scope of services and any items they have to pay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D16.4b: There is documented evidence of family notification when their relatives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D11.3: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Waipuna rest home and hospital provides care for up to 58 residents.  There are 43 dual service beds and 10 residential disability beds.  On the day of audit there were five rest home level, 34 hospital level and 10 residential disability residents.  Seven of 34 hospital resident were under the medical component of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organisational philosophy, which includes a vision and mission statement.  There is a strategic business plan for 2014 – 2017 that has had an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(RN) manager has a background of 14 years in aged care management roles and has completed a post graduate paper in mental health.  She was appointed the manager of Radius Waipuna in July 2014.  The clinical manager/RN has four years aged care experience and was appointed to the role in October 2014.  Both managers are also supported by a regional manager (RN). </w:t>
            </w:r>
          </w:p>
          <w:p w:rsidR="00EB7645" w:rsidRPr="00BE00C7" w:rsidP="00BE00C7">
            <w:pPr>
              <w:pStyle w:val="OutcomeDescription"/>
              <w:spacing w:before="120" w:after="120"/>
              <w:rPr>
                <w:rFonts w:cs="Arial"/>
                <w:b w:val="0"/>
                <w:lang w:eastAsia="en-NZ"/>
              </w:rPr>
            </w:pPr>
            <w:r w:rsidRPr="00BE00C7">
              <w:rPr>
                <w:rFonts w:cs="Arial"/>
                <w:b w:val="0"/>
                <w:lang w:eastAsia="en-NZ"/>
              </w:rPr>
              <w:t>ARC,D17.3di (rest home), D17.4b (hospital), the manager has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Waipuna has implemented a quality and risk management system.  Radius Waipuna has a site specific quality plan which includes on-going refurbishments of bedrooms and bathrooms and the proposed plan for a new extension with shared ensuites.  The quality plan has a visual version that is displayed for staff.  This is known as the “”radius bus journey in all we do” to achieve the Radius vision which is: to continuously improve the quality of our services to be leaders in care.  Quality improvements implemented in 2014 includes the installation of new call bell system and staff training.  Quality initiatives in progress are the falls project plan in conjunction with the district health board (DHB) and introduction of communication/English courses for staff with English as a second language.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Staff interviewed (one RN and two healthcare assistants – HCA’s) confirm they are made aware of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quality/staff meetings where monthly quality data is discussed including infections, accidents and incidents, health and safety, restraints and enablers, concerns and complaints and audit outcomes.  RN meetings are held monthly.  Health and safety and infection control is included in the quality/staff meetings.  Support services meetings alternate every second month.  Special meetings are called as required.  Meeting minutes were sighted.  Staff interviewed confirm meeting minutes are available and quality data is displayed for their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includes clinical and non-clinical audits.  For audits with outcomes below 95% a corrective action is raised and re-audits occur within a month.  Annual resident/relative satisfaction surveys are completed annually in July.  Results were collated and fed back to participants through resident meetings.  A meal survey was completed in August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of quality indicators occurs within the Radius organisation.  The Radius Waipuna facility receives feedback on its performance through the Radius on-line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 There is an implemented Health and safety and risk management system in place including policies to guide practice.  The service have two health and safety representatives who have attended relevant training.  There is a current hazard register that is due for review July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strategies were in place that include the analysis of falls incidents and the identification of interventions on a case by case basis to minimise future falls.  Falls risk assessments are completed.  Interventions include sensor mats, physiotherapist assessments and post falls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accident/incident forms for the month of January 2015 were sampled.  There has been RN notification and clinical assessment completed within a timely manner.  Accidents/incidents were recorded in the resident progress notes.  There is documented evidence the family/whanau had been notified.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quality/staff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Trending data is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contained all relevant employment documentation including reference checks and completed orientations with relevant information for safe work practice.  Current practising certificates were sighted for the manager, clinical manager, RNs and allied health professionals.  Staff interviewed believed new staff were adequately orientated to the service on employment.  Performance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2014 annual education planner covered all the compulsory training requirements.  The 2015 education sessions have commenced.  Additional sessions and toolbox education at handovers ensure all staff receive training.  Visual learning and English tutoring has been implemented to improve staff learning and communication where required.  The manager and clinical manager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complete competencies and questionaries’ relevant to their role including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is a clinical manager Monday to Friday with shared on call with the manager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 24/7.  The diversional therapist works Monday to Friday.  There are dedicated cleaning, laundry and food services staff.  The HCA’s,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medication documentation identifies that medication is managed appropriately in line with required guidelines and legislation.  RNs only administer medications and have completed education and competencies. One self-medicating resident has been competency assessed and monitored regularly.  There were no standing orders.  Medication fridge temperatures have been checked weekly.  Two glucagon kits were found to be expired and replaced on the day of audit.  There was no evidence of transcribing of ‘as required’ medications and all signing sheets and medication charts sampled were correct.  This is an improvement since the previous audit.  Ten medication charts were sampled and prescribing met the legislative requirements.  The GP or NP has reviewed the medication charts at least three monthly.  </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and kitchen hand on duty each day.  All baking and meals are prepared and cooked on site.  There is a four week menu which was last reviewed May 2013 and due May 2015.  Meals are transported to the dining room on trays in hot boxes.   </w:t>
            </w:r>
          </w:p>
          <w:p w:rsidR="00EB7645" w:rsidRPr="00BE00C7" w:rsidP="00BE00C7">
            <w:pPr>
              <w:pStyle w:val="OutcomeDescription"/>
              <w:spacing w:before="120" w:after="120"/>
              <w:rPr>
                <w:rFonts w:cs="Arial"/>
                <w:b w:val="0"/>
                <w:lang w:eastAsia="en-NZ"/>
              </w:rPr>
            </w:pPr>
            <w:r w:rsidRPr="00BE00C7">
              <w:rPr>
                <w:rFonts w:cs="Arial"/>
                <w:b w:val="0"/>
                <w:lang w:eastAsia="en-NZ"/>
              </w:rPr>
              <w:t>The cook receives a dietary notification for new residents and is notified of any changes including weight loss.  Resident’s likes and dislikes are known and alternative choices are offered.  Food temperatures (cooked) are taken and recorded on each meal.  All foods are dated labelled in fridges, freezers and chiller.  There is daily fridge and freezer monitoring.  Staff are observed wearing appropriate protective wear.  Chemicals are stored safely when the kitchen is unattended.  There is an opportunity for residents to feed back on the food service at resident meetings and through satisfaction surveys.  All food services staff have attended food safety and chemical safety training.  Residents and families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Pain assessments have been completed on admission and reviewed at least six monthly or earlier where the resident has identified pain.  However there continues to be an improvement around pain assessments.  Five files reviewed included a range of assessment tools.  These have been reviewed at least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available for use to document short term needs.  Short term care plans sighted for weight loss and fall with injury reflect the resident’s needs and reflected interventions to support care.  Three of five care plans reviewed overall included interventions to support needs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a GP consultation or referral to the appropriate health professional.  Residents (two hospital and two rest home) and relatives (two hospital and two younger person with disability) interviewed state the residents needs are being met.  There was evidence of neurological observations completed following falls with head injury.    </w:t>
              <w:br/>
              <w:br/>
              <w:t xml:space="preserve"> Adequate dressing supplies and continence products were sighted.  Wound assessments and evaluations were sighted for five pressure areas of the sacrum (four grade 1 and one grade 2), one necrotic wound and three skin tears.  There is evidence of wound nurse, GP and NP involvement in the wound management of pressure areas.  There is an improvement required around short term care plans for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continence advice is available as needed and this could be described by the clinical manager and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been in the role four years and is currently completing the diversional therapy (DT) qualifications.  She attends Radius DT meetings and conferences.  The service received an award in 2014 for community connections focused on building community links.  The programme is planned a month in advance, is varied and interesting and aimed to meet individual needs with one on one time, group activities and community connections and events.  Entertainment and outings are offered.  There is a team of volunteers involved including adult students.  One of the 2015 goals for the activity coordinator is to form “Friends of Waipuna”group.  Cultural needs are met with elders of different ethnicities visiting the home such as Kaumatua for Maori and Chinese Tai Chi instructors.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comprehensive recreational, social and family information gathered for each of the younger disabled persons with an individualised plan developed in consultation with families.  Families are involved (as confirmed on interview) in the six monthly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evidenced activity plans are reviewed at the same time as the care plans with resident/family/whanau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reviewed by an RN within three weeks of admission and long term care plans developed.  The long term care plans were evaluated at least six monthly or if there is a change in health status.  There is a three monthly review by the GP.  Care plan evaluations reviewed were up to date and accurately reflected the resident’s needs. There are annual multidisciplinary team reviews that involve the resident/family/whanau.  Relatives interviewed confirm they are invited to participate in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or more frequently when clinically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23 December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a number of internal upgrades since the previous audit including redecorating and refurbishment of bedrooms as they become vacant.  Double doors in bedrooms were being fitted on the day of audit.  Bathrooms are being upgraded at one per month.  The replacement of carpet is included in the Capex plan.  There is an on-going planned maintenance programme in place.  The proposal for a 29 bed extension is included in the business plan.  The previous finding around the upgrade of facilities has been addressed and is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and pathways in the facility are well maintained.  The previous finding around uneven areas of pathway has been addressed.  A gardener maintains the gardens.  There is no evidence of deadly nightshade in the garden or grounds.  This is an improvement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(clinical manager) collates information obtained through surveillance to determine infection control activities and education needs in the facility.  Definitions of infections are appropriate to the complexity of service provided.  Trends are identified and quality initiatives put in place.  Infection control data is collated monthly and reported at the quality/staff meetings.  HCAs interviewed confirm infection control and surveillance data is discussed at staff meetings and information is displayed in the staff room as observed).  Systems are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restraint procedures.  The policy identifies that restraint is used as a last resort.  There were three residents with enablers (bedrails) in use.  Enabler consent has been voluntarily signed by the resident.  Enablers were linked to the care plans.  The clinical manager is the restraint coordinator.  Annual training in restraint is provided.  The restraint approval committee meet monthly and review the use of restraints.  There are three residents with restraints (two bedrails and three lap belts)   Risks have been identified with the use of restraint and restraint monitoring in place.  HCAs interviewed confirmed restraint/enablers are discussed at the clinical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1"/>
        <w:gridCol w:w="1280"/>
        <w:gridCol w:w="4431"/>
        <w:gridCol w:w="3612"/>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medication documentation identifies that medication is managed appropriately in line with required guidelines and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glucagon kits were found to be expired and replaced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process in place around monitoring stock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Pain assessments have been completed on admission and reviewed at least six monthly or earlier where the resident has identified pain.  However there continues to be an improvement around pain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pain assessment for a new pain post fall (one hospital resident with injury post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pain assessments are completed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interviewed state they are informed promptly of any changes in the health status of their relative.  The NP or GP examines and assesses residents of concern.  Clinical staff interviewed confirm they are informed of resident changes to health through handovers, progress notes and short term care plans.  Shortfalls were identified around interventions and STCPs.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Interventions have not been documented to reflect the resident needs and supports for two hospital residents with identified weight loss (link hospital tracer); (ii) there were no short term care plans/or the LTCP updated for two residents with sacral pressure areas and one resident with necrotic toes.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reflect the resident’s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Joans Hospital</w:t>
    </w:r>
    <w:bookmarkEnd w:id="58"/>
    <w:r>
      <w:rPr>
        <w:rFonts w:cs="Arial"/>
        <w:sz w:val="16"/>
        <w:szCs w:val="20"/>
      </w:rPr>
      <w:tab/>
      <w:t xml:space="preserve">Date of Audit: </w:t>
    </w:r>
    <w:bookmarkStart w:id="59" w:name="AuditStartDate1"/>
    <w:r>
      <w:rPr>
        <w:rFonts w:cs="Arial"/>
        <w:sz w:val="16"/>
        <w:szCs w:val="20"/>
      </w:rPr>
      <w:t>21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