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Lexham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Radius Residential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Radius Lexham Park</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25 June 2015</w:t>
      </w:r>
      <w:bookmarkEnd w:id="8"/>
      <w:r w:rsidRPr="009418D4">
        <w:rPr>
          <w:rFonts w:cs="Arial"/>
        </w:rPr>
        <w:tab/>
        <w:t xml:space="preserve">End date: </w:t>
      </w:r>
      <w:bookmarkStart w:id="9" w:name="AuditEndDate"/>
      <w:r w:rsidRPr="009418D4">
        <w:rPr>
          <w:rFonts w:cs="Arial"/>
        </w:rPr>
        <w:t>25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61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Radius Lexham Park is part of the Radius Residential Care Group.  Lexham Park cares for up to 63 residents requiring hospital (including two acute GP beds) and rest home level care.  On the day of the audit there were 61 residents including one acute GP resident.</w:t>
      </w:r>
    </w:p>
    <w:p>
      <w:pPr>
        <w:spacing w:before="240" w:line="276" w:lineRule="auto"/>
        <w:rPr>
          <w:rFonts w:eastAsia="Calibri"/>
        </w:rPr>
      </w:pPr>
      <w:r>
        <w:rPr>
          <w:rFonts w:eastAsia="Calibri"/>
        </w:rPr>
        <w:t xml:space="preserve">The facility manager has many years of management experience.  She has been at the service since 2008 and is supported by a clinical manager who has been in the role for three years and the Radius regional manager. </w:t>
      </w:r>
    </w:p>
    <w:p>
      <w:pPr>
        <w:spacing w:before="240" w:line="276" w:lineRule="auto"/>
        <w:rPr>
          <w:rFonts w:eastAsia="Calibri"/>
        </w:rPr>
      </w:pPr>
      <w:r>
        <w:rPr>
          <w:rFonts w:eastAsia="Calibri"/>
        </w:rPr>
        <w:t>Residents and family interviewed spoke positively about the service provided.</w:t>
      </w:r>
    </w:p>
    <w:p>
      <w:pPr>
        <w:spacing w:before="240" w:line="276" w:lineRule="auto"/>
        <w:rPr>
          <w:rFonts w:eastAsia="Calibri"/>
        </w:rPr>
      </w:pPr>
      <w:r>
        <w:rPr>
          <w:rFonts w:eastAsia="Calibri"/>
        </w:rPr>
        <w:t>The one previous shortfall has been addressed around transcribing.  This audit has identified improvements required around documenting indications for use for as required medications and aspects of wound management.</w:t>
      </w:r>
    </w:p>
    <w:p>
      <w:pPr>
        <w:spacing w:before="240" w:line="276" w:lineRule="auto"/>
        <w:rPr>
          <w:rFonts w:eastAsia="Calibri"/>
        </w:rPr>
      </w:pPr>
      <w:r>
        <w:rPr>
          <w:rFonts w:eastAsia="Calibri"/>
        </w:rPr>
        <w:t>The service continues to exceed the standard around activities and the environment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There is an open disclosure and interpreters policy that staff understand.  There is a complaints policy supporting practice and an up to date register.  Staff interviews confirmed an understanding of the complaints process.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There are organisational wide processes to monitor performance.  There is a quality system that is being implemented in line with the quality plan.  Staff and quality/health and safety meetings are used to monitor quality activities such as audit, complaints, health and safety, infection control and restraint.  There is an adverse event reporting system implemented and monthly data collection monitors predetermined indicators.  There are implemented human resource processes.  The annual education programme is provided and records of attendance are maintained.  There is a documented rationale for staffing the service.  Staffing rosters were sighted and staff on duty match needs of different shifts.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Registered nurses are responsible for care plan development with input from residents and family.  Residents receive appropriate care to meet their assessed needs.  Planned activities are appropriate to the resident’s assessed needs and abilities and residents advised satisfaction with the activities programme.  The activities programme is comprehensive and meets the individualised needs of residents.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All standards applicable to this service fully attained with some standards exceeded.</w:t>
            </w:r>
          </w:p>
        </w:tc>
      </w:tr>
    </w:tbl>
    <w:p w:rsidR="00460D43">
      <w:pPr>
        <w:spacing w:before="240" w:line="276" w:lineRule="auto"/>
        <w:rPr>
          <w:rFonts w:eastAsia="Calibri"/>
        </w:rPr>
      </w:pPr>
      <w:bookmarkStart w:id="24" w:name="SafeAndAppropriateEnvironment"/>
      <w:r w:rsidRPr="005E14A4">
        <w:rPr>
          <w:rFonts w:eastAsia="Calibri"/>
        </w:rPr>
        <w:t>There is a current building warrant of fitness.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documented definition of restraint and enablers that aligns with the definition in the standards.  There are four residents requiring restraint and four residents with enablers.  Enabler use is voluntary.</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Lexham Park 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9"/>
        <w:gridCol w:w="1280"/>
        <w:gridCol w:w="93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familiar with the complaints procedure and state all concerns/complaints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 off as complete.  There have been five complaints in 2015 to date.  Corrective action plans had been implemented following complaints where these have been required.  All had documentation of full investigation and resolution including communication with complainants documented for all complaints.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There are bi monthly resident/relative meetings facilitated by an independent advocate allowing residents/relatives to raise issues.  Relatives (one from the rest home and five from the hospital) and residents (two from the hospital and three from the rest home) interviewed stated they were welcomed on entry and were given time and explanation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Ten incident reports reviewed (May 2015) all recorded family notification.  All relatives interviewed confirmed they are notified of any changes in their family member's health status.  The residents and family are informed prior to entry of the scope of services and any items they have to pay that is not covered by the agreement.  The facility has an interpreter policy to guide staff in accessing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Lexham Park is part of the Radius Residential Care Group.  The service provides care for up to 63 residents requiring hospital (including two acute GP beds) and rest home level care.  On the day of the audit there were 19 residents receiving rest home level care and 42 receiving hospital level care including four younger persons with disabilities, one on a palliative care contract and one resident in an acute GP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since 2008 and is supported by a clinical manager of three years and the Radius regional manager.  The organisation provides annual conferences for their managers and annual regional conferences.  The manager and clinical manager have completed more than eight hours of training annually relating to the management of a hospital.  The manager reports monthly to the regional manager on a range of operational matters in relation to Lexham Park including strategic and operational issues, incidents and accidents, complaints,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There is a 2015 business plan with specific goals for Lexham Park and achievement toward 2014 goals has been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 continues to be implemented at Lexham Park.  Interviews with four healthcare assistants (HCA’s) and one registered nurse confirmed that quality data is discussed at monthly staff and registered staff meetings.  There is also a monthly SQIRM (safety, quality, infection control and restraint) meeting where all quality data and indicators are discussed.  Minutes of these meetings are made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appropriate for service delivery including falls management and wound management.  Policy manuals are reviewed two yearly.  New/updated policies are sent from head office.</w:t>
            </w:r>
          </w:p>
          <w:p w:rsidR="00EB7645" w:rsidRPr="00BE00C7" w:rsidP="00BE00C7">
            <w:pPr>
              <w:pStyle w:val="OutcomeDescription"/>
              <w:spacing w:before="120" w:after="120"/>
              <w:rPr>
                <w:rFonts w:cs="Arial"/>
                <w:b w:val="0"/>
                <w:lang w:eastAsia="en-NZ"/>
              </w:rPr>
            </w:pPr>
            <w:r w:rsidRPr="00BE00C7">
              <w:rPr>
                <w:rFonts w:cs="Arial"/>
                <w:b w:val="0"/>
                <w:lang w:eastAsia="en-NZ"/>
              </w:rPr>
              <w:t>Monthly reports by the facility manager to the regional manager are provided on service indicators.  Radius benchmarks its own facilities against predetermined indicators that are reported monthly from facilities.  The service collects internal monitoring data (internal audits) with the audit schedule being implemented at Lexham Park by the clinical manager.  Quality improvement data such as incidents/accidents, hazards, internal audit, infections are collected and analysed/evaluated at the SQIRM meeting.  Corrective action plans were developed for all audits where there has been less than 95% conformity.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D19.2g: Falls prevention strategies are implemented such as aggregating data monthly that includes considering time of occurrence.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and open disclosure policy/procedure.  Month by month indicator data is collected including (but not limited to):  falls (no injury, soft tissue, and fractures), skin tears, and medication and pressure areas.  Monthly aggregation of data is undertaken (monthly summary's sighted) and outcomes are discussed at all meetings - SQIRM, staff and registered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sampled evidence investigations following incidents.  Incident forms sampled where there has been a head injury have been followed up with neuro–obs.</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and the registered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(regional manager and facility manager) confirmed an awareness of the requirement to notify relevant authorities (DHB)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selection and appointment of staff policy is in place and implemented.  Five staff files were reviewed and evidenced that performance appraisals were up to date.  Current practicing certificates are kept on file.  All appropriate human resource documentation was completed on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Lexham Park has an orientation programme that is specific to worker type and includes manual handling, health and safety in service and competency testing.  In all five staff files reviewed there was a record that an orientation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directed by head office.  The training programme has exceeded eight hours in 2014 and is being implemented for 2015.  All sessions include a quiz, which is used at Lexham Park to embed information from the sessions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(RN) competencies include hand washing, manual handling, restraint, medication and syringe driver.  A tracking process is in place to monitor training and competency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acuity and clinical staffing ratio policy in place includes a documented rationale for staffing the service.  Staffing rosters were sighted and staff on duty match needs of different shifts.  The clinical manager (registered nurse) works full time.  </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enrolled nurse and registered nurses interviewed stated that there is adequate staffing to manage their workload on any shift including the additional four rooms in the dementia unit.  There is a registered nurse on duty 24 hours per day in addition to the manager and clinical manager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there are sufficient staff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an RN.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One registered nurse and one healthcare assistant were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sampled were identified with demographic details and photographs.  The medication fridges had weekly temperature checks conducted.  All 10 medication charts had allergies (or nil known),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sighted were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rest home resident who self-administers medication.  A competency assessment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Ten of 10 medication charts reviewed identified that the GP had seen and reviewed the resident three monthly and the medication chart was signed.  All ten medication charts indicate medication is being administered as prescribed.  Two of ten medication charts document the indication for giving the as required medication.  All eye drops were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addressed the previous audit findings around transcribing.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is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  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in files sampled.  The use of short term care plans were evident in files sampled.  In all files sampled the residents were receiving care that meets all their needs.  The GP interviewed stated the facility applied changes of care advice immediately and was complementary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for 11 residents with wounds.  There is evidence in files of the wound specialist referrals.  Wound care is completed within timeframes in 10 out of 11 wounds reviewed.  One wound management plan included multiple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recreational coordinator has worked at the service for six years.  There are two additional activity officers who work in the facility across both service levels.  All recreation/activities assessments and reviews were up to date in files sampled.  On the day of audit, residents were observed being actively involved with a variety of activities in the main lounge and throughout the facility.  Residents files sampled had a comprehensive assessment completed over the first few weeks after admission including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exceed the standard around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initial care plans in files sampled were reviewed by an RN within three weeks of admission and care plans were evaluated at least six monthly or if there is a change in health status.  There was a three monthly review by the GP in files sampled.  Changes in health status were documented and followed up. GP's reviewed residents medication at least monthly or three monthly (depending on the stability of the resident) and when requested if issues arise or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that is available on call for facility matters.  Planned and reactive maintenance systems are in place.  All electrical equipment has been tested and tagged.  Clinical equipment has had functional checks/calibration annually.  Hot water temperatures have been tested and recorded weekly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exceed the standard around the environment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and skin.  This data is reported to the SQIRM meetings and also to staff and registered staff meetings.  Monthly data was seen in staff areas.  The service submits data monthly to Radius head office where benchmarking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the organisational level and a SQIRM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residents with enablers and four with restraints.  Enabler use is voluntary as demonstrated in the two files sampled for residents with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5"/>
        <w:gridCol w:w="1280"/>
        <w:gridCol w:w="3466"/>
        <w:gridCol w:w="3343"/>
        <w:gridCol w:w="25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sampled indicated that medication is being administered as prescribed.  Two of ten medication charts document the indication for giving the as required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out of 10 medication charts sampled do not have indications for use recorded for ‘as required’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 required’ medications charted have documented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11 wounds had completed wound assessments and care plans and documented timely review of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One out of 11 wound care plans assessed have not been reviewed within specified timeframes; b) one wound assessment reviewed included four wounds in one assessment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wounds are reviewed within specified timeframes and that each wound is documented on an individual assessment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492"/>
        <w:gridCol w:w="92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continues to offer the extra activities using the IPads for cognitive function, socialisation, entertainment and reduction of boredom.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exceed the standard around activities.  Since October 2012, the Katikati Rotary club has funded IPad’s for residents in the facility.  In April 2013 four IPads were bought for the facility.  This meaningful activity continues.  The activity coordinator and activities staff make contact each day with residents.  Residents choose activities they wish to participate in.  The IPads are used by residents for cognitive function, socialisation, entertainment and reduction of boredom.  The IPads are used to take photos of local events where the residents participate in, and then share the photos through the TV in the main lounge for other residents and visitors to see (e.g., recent local classic cars show, as shared on the day of the audit).  One on one time is spent with residents who are unable or choose not to participate in group activities.  The IPads are shared and each resident that is willing to use it has designated time to use an IPad.  There is external tuition available for the use of IPads provided by a community volunteer.  The volunteer teaches and helps residents to find places, socialise with people and play games of their choice.  The tuition is offered one to one and is available on a weekly basis.  Broadband and Wi-Fi facilities are available for residents to use within the home.  They use the IPads for Skype, crosswords, search engines, education and entertainment.  The residents interviewed continue to use the IPads as a tool to socialise, keep entertained and maintain cognitive functions.  One rest home resident interviewed (link tracer 1.3.3) reported the use of the IPad as having provided socialisation and stimulation and has improved well-being.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Lexham Park staff and manager survey residents including the facility environment and the environment is discussed at resident meetings.  Ongoing improvements are made to meet resident and family suggestions and provide a more homelike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at Lexham Park continues to offer appropriate indoor and outdoor areas appropriate for the residents and reminiscing their era.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Lexham Park has continued to implement a number of new initiatives for improvements to the building including those in relation to resident and family feedback.  Residents and family interviewed all commented positively around the environment and the services responsiveness around making improvements.  Improvements since the previous audit have included (but are not limited to) providing abundant artwork to provide visual interest and stimulations that is by both nationally recognised and local artists and providing an aquarium in the east wing lounge and the west wing library to provide visual stimulation for more sedentary residents and development of a family area.  This replicates a home kitchen living area and has a kitchenette (tea and coffee making facilities), a fridge, kitchen table and chairs and a small lounge area with a sofa and a television.  This room has access to an outdoor table and chairs.  The design of this space allows for intimate gatherings for family and residents to share as they would if they were in their own home environment.  There is also a larger private space for family visits, which includes a dining space to share food.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interviewed stated that the facility, outdoor and indoor areas, the art and overall setting is appropriate to their age and era.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Lexham Park</w:t>
    </w:r>
    <w:bookmarkEnd w:id="58"/>
    <w:r>
      <w:rPr>
        <w:rFonts w:cs="Arial"/>
        <w:sz w:val="16"/>
        <w:szCs w:val="20"/>
      </w:rPr>
      <w:tab/>
      <w:t xml:space="preserve">Date of Audit: </w:t>
    </w:r>
    <w:bookmarkStart w:id="59" w:name="AuditStartDate1"/>
    <w:r>
      <w:rPr>
        <w:rFonts w:cs="Arial"/>
        <w:sz w:val="16"/>
        <w:szCs w:val="20"/>
      </w:rPr>
      <w:t>25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