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Aged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HealthShare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New Aged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Glenhaven Resthome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4 May 2015</w:t>
      </w:r>
      <w:bookmarkEnd w:id="8"/>
      <w:r w:rsidRPr="009418D4">
        <w:rPr>
          <w:rFonts w:cs="Arial"/>
        </w:rPr>
        <w:tab/>
        <w:t xml:space="preserve">End date: </w:t>
      </w:r>
      <w:bookmarkStart w:id="9" w:name="AuditEndDate"/>
      <w:r w:rsidRPr="009418D4">
        <w:rPr>
          <w:rFonts w:cs="Arial"/>
        </w:rPr>
        <w:t>5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Glenhaven Rest Home is a family owned service that provides rest home level of care. </w:t>
      </w:r>
    </w:p>
    <w:p>
      <w:pPr>
        <w:spacing w:before="240" w:line="276" w:lineRule="auto"/>
        <w:rPr>
          <w:rFonts w:eastAsia="Calibri"/>
        </w:rPr>
      </w:pPr>
      <w:r>
        <w:rPr>
          <w:rFonts w:eastAsia="Calibri"/>
        </w:rPr>
        <w:t xml:space="preserve">A full certification audit was conducted against the Health and Disability Services Standards and the services’ funding contract with the Waitemata District Health Board. The audit process included an offsite review of organisational polices. The onsite audit included the review of documentation and resident files, observations and interviews. Interviews were conducted with management, staff, residents, family/whanau and a general practitioner to verify the documented evidence. This audit report is an evaluation of the combined evidence on how the service meets each of the standards relevant to rest homes. </w:t>
      </w:r>
    </w:p>
    <w:p>
      <w:pPr>
        <w:spacing w:before="240" w:line="276" w:lineRule="auto"/>
        <w:rPr>
          <w:rFonts w:eastAsia="Calibri"/>
        </w:rPr>
      </w:pPr>
      <w:r>
        <w:rPr>
          <w:rFonts w:eastAsia="Calibri"/>
        </w:rPr>
        <w:t xml:space="preserve">The clinical nurse manager and management team are appropriately qualified and experienced for the roles they undertake. The strengths of the organisation is their smaller size, homelike environment and the team approach to resident care. </w:t>
      </w:r>
    </w:p>
    <w:p>
      <w:pPr>
        <w:spacing w:before="240" w:line="276" w:lineRule="auto"/>
        <w:rPr>
          <w:rFonts w:eastAsia="Calibri"/>
        </w:rPr>
      </w:pPr>
      <w:r>
        <w:rPr>
          <w:rFonts w:eastAsia="Calibri"/>
        </w:rPr>
        <w:t xml:space="preserve">There is one area for improvement related to the documentation in the medication management system.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demonstrated good knowledge and practice related to respecting residents’ rights in their day to day interactions. Staff receive ongoing education on the Health and Disability Commissioner's (HDC) Code of Health and Disability Services Consumers' Rights (the Code). </w:t>
      </w:r>
    </w:p>
    <w:p>
      <w:pPr>
        <w:spacing w:before="240" w:line="276" w:lineRule="auto"/>
        <w:rPr>
          <w:rFonts w:eastAsia="Calibri"/>
        </w:rPr>
      </w:pPr>
      <w:r>
        <w:rPr>
          <w:rFonts w:eastAsia="Calibri"/>
        </w:rPr>
        <w:t xml:space="preserve">Residents from a range of cultures, including Maori, reported that their individual cultural values and beliefs were respected, and this was supported in care planning documents reviewed. The service provider reports there are no known barriers to Maori residents accessing the service.  </w:t>
      </w:r>
    </w:p>
    <w:p>
      <w:pPr>
        <w:spacing w:before="240" w:line="276" w:lineRule="auto"/>
        <w:rPr>
          <w:rFonts w:eastAsia="Calibri"/>
        </w:rPr>
      </w:pPr>
      <w:r>
        <w:rPr>
          <w:rFonts w:eastAsia="Calibri"/>
        </w:rPr>
        <w:t xml:space="preserve">Linkages with family and the community are encouraged and maintained. The service is located close to community facilities which residents can access as appropriate. </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mission statement and vision have been identified in the business plan. Planning covers business strategies for all aspects of service delivery in a coordinated manner to meet residents’ needs. The management team regularly review the business, risk and quality plans. </w:t>
      </w:r>
    </w:p>
    <w:p>
      <w:pPr>
        <w:spacing w:before="240" w:line="276" w:lineRule="auto"/>
        <w:rPr>
          <w:rFonts w:eastAsia="Calibri"/>
        </w:rPr>
      </w:pPr>
      <w:r>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included an internal audit process, complaints management, resident and relative satisfaction surveys and incident/accident and infection control data collection. Quality and risk management activities and results are shared among staff. Reporting processes include external benchmarking so data can easily be compared to previously collected data and other aged care services. </w:t>
      </w:r>
    </w:p>
    <w:p>
      <w:pPr>
        <w:spacing w:before="240" w:line="276" w:lineRule="auto"/>
        <w:rPr>
          <w:rFonts w:eastAsia="Calibri"/>
        </w:rPr>
      </w:pPr>
      <w:r>
        <w:rPr>
          <w:rFonts w:eastAsia="Calibri"/>
        </w:rPr>
        <w:t xml:space="preserve">The day to day operation of the facility is undertaken by staff who are appropriately experienced, educated and qualified. This allows residents' needs to be met in an effective, efficient and timely manner.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pPr>
        <w:spacing w:before="240" w:line="276" w:lineRule="auto"/>
        <w:rPr>
          <w:rFonts w:eastAsia="Calibri"/>
        </w:rPr>
      </w:pPr>
      <w:r>
        <w:rPr>
          <w:rFonts w:eastAsia="Calibri"/>
        </w:rPr>
        <w:t>There was no information of a private nature on public display. The resident’s records are securely maintained.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services policies and procedures provide guidelines for access to service.  Timeframes for service delivery are met and include input from residents, families, and allied health professionals.  Initial assessment, care and support is provided by competent staff, with ongoing evaluations completed by a registered nurse.  Nursing interventions are consistent with best practice and care plans well utilised.  </w:t>
      </w:r>
    </w:p>
    <w:p w:rsidRPr="005E14A4" w:rsidP="00621629">
      <w:pPr>
        <w:spacing w:before="240" w:line="276" w:lineRule="auto"/>
        <w:rPr>
          <w:rFonts w:eastAsia="Calibri"/>
        </w:rPr>
      </w:pPr>
      <w:r w:rsidRPr="005E14A4">
        <w:rPr>
          <w:rFonts w:eastAsia="Calibri"/>
        </w:rPr>
        <w:t>There is a broad range of activities which are appropriate for the service users.  Residents and families interviewed confirm they are well supported to maintain interests and participation is voluntary.</w:t>
      </w:r>
    </w:p>
    <w:p w:rsidRPr="005E14A4" w:rsidP="00621629">
      <w:pPr>
        <w:spacing w:before="240" w:line="276" w:lineRule="auto"/>
        <w:rPr>
          <w:rFonts w:eastAsia="Calibri"/>
        </w:rPr>
      </w:pPr>
      <w:r w:rsidRPr="005E14A4">
        <w:rPr>
          <w:rFonts w:eastAsia="Calibri"/>
        </w:rPr>
        <w:t>The service has a documented medication management system.  An improvement is required to ‘as required’ medications having documented indications for use and ensuring there is a reconciliation process for medications received into the facility.</w:t>
      </w:r>
    </w:p>
    <w:p w:rsidRPr="005E14A4" w:rsidP="00621629">
      <w:pPr>
        <w:spacing w:before="240" w:line="276" w:lineRule="auto"/>
        <w:rPr>
          <w:rFonts w:eastAsia="Calibri"/>
        </w:rPr>
      </w:pPr>
      <w:r w:rsidRPr="005E14A4">
        <w:rPr>
          <w:rFonts w:eastAsia="Calibri"/>
        </w:rPr>
        <w:t>Nutritional needs are met.  Special dietary requirements are catered for and regular monitoring completed.  Food services and storage meet food safety requirements.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Pr="005E14A4">
      <w:pPr>
        <w:spacing w:before="240" w:line="276" w:lineRule="auto"/>
        <w:rPr>
          <w:rFonts w:eastAsia="Calibri"/>
        </w:rPr>
      </w:pPr>
      <w:r w:rsidRPr="005E14A4">
        <w:rPr>
          <w:rFonts w:eastAsia="Calibri"/>
        </w:rPr>
        <w:t xml:space="preserve">The building has a current building warrant of fitness. There is an approved evacuation scheme and ongoing maintenance plans. The building is suitable for the needs of rest home level of care residents. There are appropriate cleaning and laundry services. </w:t>
      </w:r>
    </w:p>
    <w:p w:rsidRPr="005E14A4">
      <w:pPr>
        <w:spacing w:before="240" w:line="276" w:lineRule="auto"/>
        <w:rPr>
          <w:rFonts w:eastAsia="Calibri"/>
        </w:rPr>
      </w:pPr>
      <w:r w:rsidRPr="005E14A4">
        <w:rPr>
          <w:rFonts w:eastAsia="Calibri"/>
        </w:rPr>
        <w:t xml:space="preserve">The facilities meet residents’ needs and provide furnishings and equipment that is regularly maintained. There are adequate toilet, bathing and hand washing facilities. Designated lounge and dining areas meet residents' relaxation, activity and dining needs. </w:t>
      </w:r>
    </w:p>
    <w:p w:rsidRPr="005E14A4">
      <w:pPr>
        <w:spacing w:before="240" w:line="276" w:lineRule="auto"/>
        <w:rPr>
          <w:rFonts w:eastAsia="Calibri"/>
        </w:rPr>
      </w:pPr>
      <w:r w:rsidRPr="005E14A4">
        <w:rPr>
          <w:rFonts w:eastAsia="Calibri"/>
        </w:rPr>
        <w:t xml:space="preserve">The building is suitably heated, cooled and ventilated. The outdoor areas and decks provide suitable furnishings and shade for residents’ use.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are no restraints used in the facility.  There are documented guidelines for the use of restraint, enablers and challenging behaviours.  Staff receive sufficient training and demonstrate an understanding of the appropriate use of enablers to maintain independence.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prevention and control policies and procedures are adequately documented.  There is a designated infection control co-ordinator who is responsible for ensuring monthly surveillance is completed and monitoring of infection control practices.  Documentation sighted provides evidence that all staff are educated as part of an initial orientation and as part of on-going in-service education</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6"/>
        <w:gridCol w:w="1280"/>
        <w:gridCol w:w="91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and in each residents room.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Staff files evidenced completed annual competencies in relation to the Code. The clinical staff interviewed demonstrated knowledge on the Code and its implementation in their day to day practice. Staff were observed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were provided with all relevant information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were held regarding informed consent, choice and options regarding clinical and non-clinical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obtained included the following: consent for sharing of information, consent for care and treatment, indemnity and outing consent.  There were advance directives documented if the resident was deemed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sighted had all been signed at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identified that the service actively involved them in decisions that affected their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they were provided with information regarding access to advocacy services and were also encouraged to involve themselves as advocates. Contact details for the Nationwide Health and Disability Advocacy Service was listed in the resident’s information booklet, with the brochure available at the entrances to the service. Education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at any time. The family/whanau report there are no restrictions to visiting hours. Residents are supported and encouraged to access community services with visitors or as part of the planned activities programme. The facility is close to community facilities and residents report they are encouraged to access these independently as 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the organisation is committed to an effective and impartial complaints system. Procedures are in place to show how they support a culture of openness and willingness to learn from incidents, including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for residents and family/whānau and is part of the staff orientation programme and ongoing education. This is confirmed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that the management’s open door policy makes it easy to discuss concerns at any time. The complaints register records the complaint, dates and actions take, these are addressed to comply with right 10 of the Code. There are no outstanding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families and residents interviewed reported that the Code was explained to them on admission and was part of the admission pack and displayed in their room. Nationwide Health and Disability Advocacy service information is part of the 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at the time of audit. The service does have seven rooms that are able to be shared by couples. The residents reported they are treated with dignity, and their privacy and independence is maintained. The residents' files reviewed indicated that residents receive services that are responsive to their needs, values and beliefs. The family/whanau and general practitioner (GP) interviewed expressed no concerns with abuse or neglect. The family/whanau and residents interviewed reported high satisfaction with the way that the service provided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identified as Maori reported satisfaction with the cultural appropriateness of the care and services. The file of a Maori resident had a specific care plan for their cultural needs. The manager reported that there are no barriers to Maori accessing the service. The caregivers interviewed demonstrated good understanding of services that meet the needs of the Maori residents and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consultation with families on the resident's individual values and beliefs. The residents and families reported they were consulted with the assessment and care plan development. Staff education has been conducted on the aging process and spiritualty by an external provider. The caregivers interviewed demonstrated good knowledge on respecting resident’s culture, values and beliefs. The cultural needs of a resident who is from a different culture had their specific needs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reviewed had job descriptions, employment agreements and staff handbooks that had clear guidelines regarding professional boundaries and house rules. Families and residents reported they are satisfied with the care provided. The families expressed no concerns with breaches in professional boundaries, discrimination or harassment.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There is a training programme implemented. Staff interviewed described sound practice based on policies and procedures, care plans and information given to them via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are undertaken to improve the lives of residents, and staff are able to describe how these have benefitted residents, for example reducing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families interviewed express a high level of satisfaction with the care delivered. All stated that they have no intention of complaining as the service is excellent.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to other services is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accessing interpreter services. The families interviewed confirmed they are kept informed of the resident's status, including any events adversely affecting the resident. Evidence of open disclosure is documented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under the aged care contract with Waitemata DHB. The service has 18 rooms, some of these can be double rooms to provide a maximum capacity of 24 residents. The service tends to use the double rooms as single rooms (unless required for couples) and operates mostly with 18 residents. At the time of audit there were 17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is owned and operated as a family business. Strategic planning is identified in the 2015 strategic plan. It covers all aspects of service delivery to meet the needs of rest home residents. The vision and mission statements of the organisation are documented and reviewed annually as part of the business planning process. Risk management is included in the business planning process and is monitored three monthly through the management and service review meetings. The owner and manager have the overall role of the governance and strategic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nurse manager who covers the clinical aspects of the service delivery. The clinical nurse manager is a registered nurse (RN) with a current practicing certificate.  Job descriptions identify management staff’s experience, education, authority, accountability and responsibility for the provision of services. The manager reports confidence in the clinical nurse manager to undertake the clinical management role. The clinical manager has input into the strategic and quality planning. The clinical nurse manager also has support from a clinical advisor, who does site visits at least three monthly and takes on role of clinical manager as required. The clinical nurse manager has been in the role since February 2015, with ongoing education planned to ensure they have at least 8 hours of education related to the management of aged care services. The service is a member of aged care associations, with these providing ongoing education related to management. </w:t>
            </w:r>
          </w:p>
          <w:p w:rsidR="00EB7645" w:rsidRPr="00BE00C7" w:rsidP="00BE00C7">
            <w:pPr>
              <w:pStyle w:val="OutcomeDescription"/>
              <w:spacing w:before="120" w:after="120"/>
              <w:rPr>
                <w:rFonts w:cs="Arial"/>
                <w:b w:val="0"/>
                <w:lang w:eastAsia="en-NZ"/>
              </w:rPr>
            </w:pPr>
            <w:r w:rsidRPr="00BE00C7">
              <w:rPr>
                <w:rFonts w:cs="Arial"/>
                <w:b w:val="0"/>
                <w:lang w:eastAsia="en-NZ"/>
              </w:rPr>
              <w:t>Service satisfaction was reported during resident and family/whānau interviews and by the results sighted for the 2015 resident and family/whānau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advisor who undertakes the clinical manager role during temporary absences.  The manager reports that the clinical advisor has extensive experience in aged care and they are confident in their ability to perform the clinical manager role during temporary absences. Their annual practicing certificate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is understood and implemented by the staff. There is a quality plan and a risk management plan. These include the development and update of policies and procedures, regular internal audits, incident and accident reporting,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All reporting is linked to monthly benchmarking with an external aged care consultancy agency. This information is used to inform ongoing planning of services to ensure resident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developed by an aged care consultancy agency. These are personalised to the service by the manager. The policies have been updated at least two yearly, or sooner if there was a change in legislation or best practice. There are appropriate systems in place for the control of documents to ensure staff only have access to the current version.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data is collected, analysed and benchmarked. The internal auditing plan covers all aspects of services delivery including resident care planning, the environment, infection control, resident and relative satisfaction. The internal audits sampled evidence corrective planning to address any shortfalls. Feedback is provided to the appropriate levels of staff, for example food services to the cook, clinical audit outcomes to the caregiving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have quality improvement forms based on suggestions from staff, residents and visitors for areas that can be improved on. The forms sampled record the improvement implemented and follow up of the evaluation the effectiveness of the improvement.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were identified and documented in the hazard register. There were interventions implemented to either eliminate, isolate or minimise the hazards.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the organisation requires all incidents, accident and adverse events to be reported immediately. Responsibilities are clearly identified. Actions to be taken are clearly set out in graph form for staff to follow.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understood their obligations in relation to essential notification reporting and knew which regulatory bodies must be notified. There have been no incidents that have required essential notification.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and any corrective actions to be taken are shown on the forms used by the service. Families are notified of any adverse, unplanned or untoward events at times they have nominated. Family/whānau interviewed confirmed they are kept well informed of any concerns the staff may have or of any adverse events related to their relatives. Management confirmed during interview that information gathered from incident and accidents is used as an opportunity to improve services where indicated. Falls management strategies are implemented for residents who have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which are repeated annually, as confirmed in five of the six staff files. The remaining file did not have a copy of the orientation and induction training, though the staff member, manager and assistant manager confirm that the clinical advisor had completed this with the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includes the training programme developed by the aged care consultant. The education programme covers the contractual requirements of the aging process. There is also education, training and clinical mentoring provided through external providers and the DHB specialists. Education records were sighted in the staff files and the training records. The service also has access to specialist aged care online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along with the resident and relatives satisfaction survey results, identified that residents’ needs are met by the service. No negative comments were voiced during interviews on the days of audit. Residents and families reporting that the homelike, personalised and team approach to care is a strength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identifies that at all times adequate numbers of suitably qualified staff are on duty to provide safe and quality care. The staffing and skills mix comply with the funders contractual requirements for rest home level of care. The service operates on a ‘master roster’ where each staff member is allocated set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 owner/manager reported that additional staff would be rostered to meet residents’ needs and this was confirmed by staff interviewed. Required staffing levels and skill mix is clearly documented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All staff have current first aid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Monday to Friday and there are appropriate levels of kitchen, cleaning and maintenance staff. In addition to the rostered staff the owner/managers are onsite five days a week, with one of the owners assisting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were securely stored. Archived records were stored onsite. When required, records were appropriately destroyed.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 entries are made at least daily. These records were legible and the name and designation of the staff member documented on most occasions. There were some entries that did not have the designation of the staff member, this was addressed on the day of audit and is not reflective of a systemic issue. There was also a signature register to assist with the identification of staff entries.  </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residents were integrated. Information of a private or personal nature is maintained in a secure manner and was not publicly accessible or observable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 guidelines are clearly documented in service policy, and processes are implemented to ensure residents’ entry to the service is facilitated in a competent, equitable, timely and respectful manner.  Resident information packs sighted, provided on admission, ensure residents are given sufficient information. Family members interviewed confirm they had received information packs and have been fully informed during all processes. </w:t>
            </w:r>
          </w:p>
          <w:p w:rsidR="00EB7645" w:rsidRPr="00BE00C7" w:rsidP="00BE00C7">
            <w:pPr>
              <w:pStyle w:val="OutcomeDescription"/>
              <w:spacing w:before="120" w:after="120"/>
              <w:rPr>
                <w:rFonts w:cs="Arial"/>
                <w:b w:val="0"/>
                <w:lang w:eastAsia="en-NZ"/>
              </w:rPr>
            </w:pPr>
            <w:r w:rsidRPr="00BE00C7">
              <w:rPr>
                <w:rFonts w:cs="Arial"/>
                <w:b w:val="0"/>
                <w:lang w:eastAsia="en-NZ"/>
              </w:rPr>
              <w:t>A review of clinical files confirm the necessary needs assessments have been completed and residents placed in an appropriate level of care.  Signed and dated admission agreements are sighted and staff interview verifies the processes which ensures residents receive the necessary prescribed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and the RN confirms the correct processes are followed around exit and discharge.  Referral information provided to other service providers is sighted on clinical files and copies of correspondence retained. </w:t>
            </w:r>
          </w:p>
          <w:p w:rsidR="00EB7645" w:rsidRPr="00BE00C7" w:rsidP="00BE00C7">
            <w:pPr>
              <w:pStyle w:val="OutcomeDescription"/>
              <w:spacing w:before="120" w:after="120"/>
              <w:rPr>
                <w:rFonts w:cs="Arial"/>
                <w:b w:val="0"/>
                <w:lang w:eastAsia="en-NZ"/>
              </w:rPr>
            </w:pPr>
            <w:r w:rsidRPr="00BE00C7">
              <w:rPr>
                <w:rFonts w:cs="Arial"/>
                <w:b w:val="0"/>
                <w:lang w:eastAsia="en-NZ"/>
              </w:rPr>
              <w:t>One file sampled confirms a resident who has required a higher level of care has been referred to the needs assessment service co-ordinator (NASC) for a re-assessment.  This has been done in a timely manner and the resident now receives the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medication management, however, there is no process which involves the registered nurse (RN) checking medications as they are received into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observed administering medications during the lunch time medication round and follow correct procedures.  Administration records are maintained.  Interviews with staff and a review of staff files confirms that only staff who have been assessed as competent are responsible for medication management. Medication trolleys and cupboards are observed to be locked, with the keys being held by the staff member responsible for medications on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have been prescribed by the GP using a pharmacy generated medication chart.  All charts include photo identification and any allergies identified.  Three monthly GP reviews are evident.  Individually prescribed medications are used and a robotics pack system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controlled drug locked safe and controlled drug logs are maintained with evidence of regular reconciliation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medication files sampled include residents who self-administer medication.  Residents have been assessed as competent to self-administer medications and the relevant form confirming this is signed by both the resident and the RN.  A medication fridge is observed and daily monitoring of temperature is completed.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prescribed medication that could be used as required however indications for use are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adverse events related to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well-balanced diet which meets nutritional requirements.  Kitchen staff confirm that there is dietitian input into the menu and the relevant report confirming this is sighted.  A four weekly menu is followed and the meals provided on the day are in line with the menu sighted. Residents interviewed are satisfied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completed on admission and special dietary requirements are highlighted and recorded on documents held in the kitchen.  Individual food preference lists are sighted and any allergies identified.  Special equipment is available as required, for example, one clinical file sampled makes reference to the use of a rim plate and use was observed during meal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required food safety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stocked, clean and tidy.  Fresh fruit and vegetables and other food stuffs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temperature monitoring and maintenance of a cleaning schedule. </w:t>
            </w:r>
          </w:p>
          <w:p w:rsidR="00EB7645" w:rsidRPr="00BE00C7" w:rsidP="00BE00C7">
            <w:pPr>
              <w:pStyle w:val="OutcomeDescription"/>
              <w:spacing w:before="120" w:after="120"/>
              <w:rPr>
                <w:rFonts w:cs="Arial"/>
                <w:b w:val="0"/>
                <w:lang w:eastAsia="en-NZ"/>
              </w:rPr>
            </w:pPr>
            <w:r w:rsidRPr="00BE00C7">
              <w:rPr>
                <w:rFonts w:cs="Arial"/>
                <w:b w:val="0"/>
                <w:lang w:eastAsia="en-NZ"/>
              </w:rPr>
              <w:t>Labels and dates are on all containers, and food in the chiller is covered and dated.  There have been no reported incidents of residents becoming unwell as a result of poor food handling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provide guidelines around declining entry to the service.  There is no evidence of potential residents being declined entry.  Clinical staff interviewed are able to give reasons for declining entry and the general practitioner (GP) confirms residents referred to the service have not been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nursing assessment completed.  They are completed within the identified timeframes and include resident centred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their involvement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demonstrate use of a variety of assessment tools to assist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and interviews with clinical staff confirm that assessment is an ongoing process with regular evaluations being completed by the registered nurse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and short-term care plans are developed and include goals identified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confirm access to resident files and completion of daily progress notes demonstrate prescribed care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allied health support within the care plan process, for example, physiotherapy.  </w:t>
            </w:r>
          </w:p>
          <w:p w:rsidR="00EB7645" w:rsidRPr="00BE00C7" w:rsidP="00BE00C7">
            <w:pPr>
              <w:pStyle w:val="OutcomeDescription"/>
              <w:spacing w:before="120" w:after="120"/>
              <w:rPr>
                <w:rFonts w:cs="Arial"/>
                <w:b w:val="0"/>
                <w:lang w:eastAsia="en-NZ"/>
              </w:rPr>
            </w:pPr>
            <w:r w:rsidRPr="00BE00C7">
              <w:rPr>
                <w:rFonts w:cs="Arial"/>
                <w:b w:val="0"/>
                <w:lang w:eastAsia="en-NZ"/>
              </w:rPr>
              <w:t>Residents observed have the necessary prescribed equipment to minimise risk and promote independence.  The GP describes an effective working relationship with staff, and confirms continuity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general practitioner (GP) and care staff are interviewed regarding prescribed care and care plans are sighted.  Interventions are consistent with best practice.  Short term care plans are developed as required, for example, for one resident who recently developed an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completed daily by care staff confirms care is being completed as prescribed.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clinical staff handover demonstrates that staff discuss the needs of individual residents on a daily basis.  The GP has confidence that interventions are implemented in an appropriate and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interviewed.  Activities are facilitated five days per week.  Activities are planned one month in advance and include a variety of activities appropriate to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is provided for individuals to attend activities specific to their needs, and includes transport and one to one support.  Residents are observed participating in the days planned activity, they are well supported and appear to be enjoying the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Participation records are maintained and residents confirm participation is voluntary and they are satisfied with the activity programme.  An activities board is visible in a common area and includes upcoming events and photos of previous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an evaluation process.  Files sampled include evaluations which are documented according to policy, they are conducted regularly and describes the degree of achievement and progress towards meeting desired outcomes. The RN described the process, and evaluations sighted show clear links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initiates changes to the plan of care where progress is different from expected, for example, short term wound care plans.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 a high level of satisfaction with the service supporting the resident to achieve their desired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clinical staff, GP and family members confirm that residents are provided with access to other service providers as required.  </w:t>
            </w:r>
          </w:p>
          <w:p w:rsidR="00EB7645" w:rsidRPr="00BE00C7" w:rsidP="00BE00C7">
            <w:pPr>
              <w:pStyle w:val="OutcomeDescription"/>
              <w:spacing w:before="120" w:after="120"/>
              <w:rPr>
                <w:rFonts w:cs="Arial"/>
                <w:b w:val="0"/>
                <w:lang w:eastAsia="en-NZ"/>
              </w:rPr>
            </w:pPr>
            <w:r w:rsidRPr="00BE00C7">
              <w:rPr>
                <w:rFonts w:cs="Arial"/>
                <w:b w:val="0"/>
                <w:lang w:eastAsia="en-NZ"/>
              </w:rPr>
              <w:t>Files demonstrate links via a referral process with external health professionals, for example, acute care hospitals, wound care specialist.  Care plans have been adapted as necessary to include specialist care and advice.  Families state they have been kept fully informed during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With the exception of one bottle of chemicals, which had a label placed on it on the day of audit. Chemicals are clearly labelled and safety data sheets are available. Personal protective equipment/clothing (PPE) sighted included disposable gloves, aprons and goggles. Staff interviewed confirmed they can access PPE at any time and were observed wearing disposal gloves and aprons appropriately. The cleaner demonstrated knowledge of handling waste and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expires in February 2016. There is an annual safety inspection for the lift.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and external contractors as required.  Electrical safety testing occurs annually and was completed in September 2014 by a registered electrician. All electrical equipment sighted had an approved testing tag.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There are stairs and a lift to the upper floor. Regular environmental audits sighted identify that the service actively strives to maintain a safe environment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planned annual maintenance and hazard identification forms for areas that require maintenance. There are external areas off the lounge and dining areas. The upper deck has an umbrella for shade. There is access to garden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confirmed the environment was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toilet/shower facilities for residents with separate staff and visitor facilities. The toileting facilities are located on the upper and lower levels of the service. There is one room that has an ensuite with a basin, toilet and shower. One toilet area had some minor chipping to a wall surface, this is on the maintenance plan for repair and not reflective of a systemic issue. All but one room has a hand basin in the bedroom. Hot water temperatures are monitored and documentation identifies that they remained within safe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There are six rooms that have the capacity to be double rooms, the manager reports these would only be used as shared rooms for couples. All rooms at the time of audit are single occupancy. Rooms have appropriate areas for residents to place personal belongings. Resident and families members interviewed confirmed they were happy with their bedrooms and stated that lack of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Dining and lounge areas are separated. The areas are appropriately furnished to meet residents’ needs. Activities are undertaken in both the lounge and dining areas. 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standing operating procedures in place for cleaning. There is a dedicated storage area for cleaning equipment and chemicals. The external chemical supplier provides a monthly report on the effectiveness of the cleaning and laundry equipment and chemical usage. </w:t>
            </w:r>
          </w:p>
          <w:p w:rsidR="00EB7645" w:rsidRPr="00BE00C7" w:rsidP="00BE00C7">
            <w:pPr>
              <w:pStyle w:val="OutcomeDescription"/>
              <w:spacing w:before="120" w:after="120"/>
              <w:rPr>
                <w:rFonts w:cs="Arial"/>
                <w:b w:val="0"/>
                <w:lang w:eastAsia="en-NZ"/>
              </w:rPr>
            </w:pPr>
            <w:r w:rsidRPr="00BE00C7">
              <w:rPr>
                <w:rFonts w:cs="Arial"/>
                <w:b w:val="0"/>
                <w:lang w:eastAsia="en-NZ"/>
              </w:rPr>
              <w:t>All laundry, including residents’ personal laundry, is undertaken onsite by the caregiving staff. During interview, residents and family/whānau confirmed they are happy with the laundry services provided. Staff interviewed confirm they always have enough linen to meet day to 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The emergency evacuation plan and general principles of evacuation are clearly documented in the fire service approved fire evacuation plan. A letter sighted from the New Zealand Fire Service (2004) confirms the approved evacuation scheme. All resident areas have smoke alarms and a sprinkler system which is connected to the fire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that can be used for cooking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 monthly trial evacuations.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There are security cameras that monitor the entrances.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 call bells were answered in an acceptable timeframe. Monthly inspection is recorded for the call bell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heat pumps throughout the facility to provide adequate heating and cooling. Each resident room and living area has adequate ventilation and natural light through external windows and doors. The residents report satisfaction with the heating and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designated infection control co-ordinator.  The co-ordinator confirms that a surveillance programme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sighted and includes infection details related to clinical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analysis and an annual review of the infection control programme is completed.  Reports are provided at monthly general staff meetings.  Minutes are sighted.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and a review of clinical files and medication charts shows antibiotics are prescribed only if clinically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observed during the audit complete hand hygiene and use personal protective equipment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Outbreak kits are sighted and are accessible and appropriately stocked.  </w:t>
            </w:r>
          </w:p>
          <w:p w:rsidR="00EB7645" w:rsidRPr="00BE00C7" w:rsidP="00BE00C7">
            <w:pPr>
              <w:pStyle w:val="OutcomeDescription"/>
              <w:spacing w:before="120" w:after="120"/>
              <w:rPr>
                <w:rFonts w:cs="Arial"/>
                <w:b w:val="0"/>
                <w:lang w:eastAsia="en-NZ"/>
              </w:rPr>
            </w:pPr>
            <w:r w:rsidRPr="00BE00C7">
              <w:rPr>
                <w:rFonts w:cs="Arial"/>
                <w:b w:val="0"/>
                <w:lang w:eastAsia="en-NZ"/>
              </w:rPr>
              <w:t>Hand sanitizer is readily available to residents, staff and visitors.  Staff are able to identify infection control team personnel.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available and the co-ordinator is able to demonstrate that available external resources are utilised to ensure current best practice.  During a recent suspected outbreak, staff followed District Health Board outbreak notification guidelines.  Documentation is sighted to confirm this and includes a plan of care for a resident who required isolation.  Lab reports sighted and staff confirm the suspected outbreak was not infectious.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around infection control and is also included in the orientation process. Training sessions are documented and attendance records completed.  Minutes of general staff meetings sighted include discussions related to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had training around infection control specific to the role and the certificate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confirms a surveillance programme is maintained.  Surveillance data is sighted and includes infection details related to files sampled.  Monthly analysis is completed and reported at monthly general staff meetings.  Benchmarking data against other facilities is sighted.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is appropriate to the size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policy is sighted and is appropriate for this service. No restraints are used in this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provided with education.  Staff describe enablers as being voluntary as per the policy and the policy defines both enablers and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66"/>
        <w:gridCol w:w="1280"/>
        <w:gridCol w:w="3136"/>
        <w:gridCol w:w="1740"/>
        <w:gridCol w:w="17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RN confirms there is no process to ensure a reconciliation process for medications as they are received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Four of ten medication charts sighted had ‘as required’ medications which did not include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reconciliation process for receiving medications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As required medications do not consistently include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 reconciliation process for receiving medications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Ensure all ‘as required’ medications include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Aged Care Limited</w:t>
    </w:r>
    <w:bookmarkEnd w:id="58"/>
    <w:r>
      <w:rPr>
        <w:rFonts w:cs="Arial"/>
        <w:sz w:val="16"/>
        <w:szCs w:val="20"/>
      </w:rPr>
      <w:tab/>
      <w:t xml:space="preserve">Date of Audit: </w:t>
    </w:r>
    <w:bookmarkStart w:id="59" w:name="AuditStartDate1"/>
    <w:r>
      <w:rPr>
        <w:rFonts w:cs="Arial"/>
        <w:sz w:val="16"/>
        <w:szCs w:val="20"/>
      </w:rPr>
      <w:t>4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