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Thornton Park Retirement Lodge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Thornton Park Retirement Lodge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Thornton Park Retirement Lodge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28 April 2015</w:t>
      </w:r>
      <w:bookmarkEnd w:id="8"/>
      <w:r w:rsidRPr="009418D4">
        <w:rPr>
          <w:rFonts w:cs="Arial"/>
        </w:rPr>
        <w:tab/>
        <w:t xml:space="preserve">End date: </w:t>
      </w:r>
      <w:bookmarkStart w:id="9" w:name="AuditEndDate"/>
      <w:r w:rsidRPr="009418D4">
        <w:rPr>
          <w:rFonts w:cs="Arial"/>
        </w:rPr>
        <w:t>29 April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35</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Thornton Park is a privately owned facility.  The service provides rest home and hospital care for up to 42 residents.  On the day of audit there were 35 residents.  The service is operated by a clinical nurse manager/registered nurse who has been with the service five years and has experience in aged care.  She is supported by a non-clinical support services manager and a 24/7 registered nursing team. </w:t>
      </w:r>
    </w:p>
    <w:p>
      <w:pPr>
        <w:spacing w:before="240" w:line="276" w:lineRule="auto"/>
        <w:rPr>
          <w:rFonts w:eastAsia="Calibri"/>
        </w:rPr>
      </w:pPr>
      <w:r>
        <w:rPr>
          <w:rFonts w:eastAsia="Calibri"/>
        </w:rPr>
        <w:t xml:space="preserve">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family, management and staff.  Residents and families comment positively on the care and services provided at Thornton Park. </w:t>
      </w:r>
    </w:p>
    <w:p>
      <w:pPr>
        <w:spacing w:before="240" w:line="276" w:lineRule="auto"/>
        <w:rPr>
          <w:rFonts w:eastAsia="Calibri"/>
        </w:rPr>
      </w:pPr>
      <w:r>
        <w:rPr>
          <w:rFonts w:eastAsia="Calibri"/>
        </w:rPr>
        <w:t xml:space="preserve">The service has addressed one of five shortfalls from their previous certification audit around self-medication. </w:t>
      </w:r>
    </w:p>
    <w:p>
      <w:pPr>
        <w:spacing w:before="240" w:line="276" w:lineRule="auto"/>
        <w:rPr>
          <w:rFonts w:eastAsia="Calibri"/>
        </w:rPr>
      </w:pPr>
      <w:r>
        <w:rPr>
          <w:rFonts w:eastAsia="Calibri"/>
        </w:rPr>
        <w:t xml:space="preserve">Further improvements continue to be required around resident/family input into care plans, documentation of interventions and defined responsibilities for infection control and restraint.  </w:t>
      </w:r>
    </w:p>
    <w:p>
      <w:pPr>
        <w:spacing w:before="240" w:line="276" w:lineRule="auto"/>
        <w:rPr>
          <w:rFonts w:eastAsia="Calibri"/>
        </w:rPr>
      </w:pPr>
      <w:r>
        <w:rPr>
          <w:rFonts w:eastAsia="Calibri"/>
        </w:rPr>
        <w:t xml:space="preserve">This audit identified an improvement required around meetings, communication of quality data, annual resident/relative surveys, performance appraisals, review of the business goals, activity plans, enabler reviews and aspects of medication documentation.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Family are informed when the resident health status changes.  There is a documented process for making complaints and residents and family were able to discuss the complaints process.  Complaints are recorded in an on-register.</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Thornton Park has a quality and risk management system that supports the provision of clinical care.  Quality data collection including infections, accidents/incidents and internal audit outcomes are entered into the on-line system.  </w:t>
      </w:r>
    </w:p>
    <w:p>
      <w:pPr>
        <w:spacing w:before="240" w:line="276" w:lineRule="auto"/>
        <w:rPr>
          <w:rFonts w:eastAsia="Calibri"/>
        </w:rPr>
      </w:pPr>
      <w:r>
        <w:rPr>
          <w:rFonts w:eastAsia="Calibri"/>
        </w:rPr>
        <w:t xml:space="preserve">There are human resources policies including recruitment, selection, orientation and staff training and development.  The service has an induction programme that provides new staff with relevant information for safe work practice.  An external registered nurse educator implements an annual education plan that covers training requirements.  The staffing policy aligns with contractual requirements and includes skill mixes.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Registered nurses are responsible for care plan development with input from residents and family.  Initial assessments, risk assessments, care plans and evaluations in resident files were completed within the required timeframes.  Residents and family interviewed confirmed that the care provided meets the residents' needs.  The general practitioner reviews the residents three monthly. </w:t>
      </w:r>
    </w:p>
    <w:p w:rsidRPr="005E14A4" w:rsidP="00621629">
      <w:pPr>
        <w:spacing w:before="240" w:line="276" w:lineRule="auto"/>
        <w:rPr>
          <w:rFonts w:eastAsia="Calibri"/>
        </w:rPr>
      </w:pPr>
      <w:r w:rsidRPr="005E14A4">
        <w:rPr>
          <w:rFonts w:eastAsia="Calibri"/>
        </w:rPr>
        <w:t xml:space="preserve">Planned activities are appropriate to the resident’s assessed needs and abilities and residents advised satisfaction with the activities programme.  </w:t>
      </w:r>
    </w:p>
    <w:p w:rsidRPr="005E14A4" w:rsidP="00621629">
      <w:pPr>
        <w:spacing w:before="240" w:line="276" w:lineRule="auto"/>
        <w:rPr>
          <w:rFonts w:eastAsia="Calibri"/>
        </w:rPr>
      </w:pPr>
      <w:r w:rsidRPr="005E14A4">
        <w:rPr>
          <w:rFonts w:eastAsia="Calibri"/>
        </w:rPr>
        <w:t xml:space="preserve">Medication policy and procedure aligns with legislation and current regulations.  The previous finding around self-medication had been addressed.   </w:t>
      </w:r>
    </w:p>
    <w:p w:rsidRPr="005E14A4" w:rsidP="00621629">
      <w:pPr>
        <w:spacing w:before="240" w:line="276" w:lineRule="auto"/>
        <w:rPr>
          <w:rFonts w:eastAsia="Calibri"/>
        </w:rPr>
      </w:pPr>
      <w:r w:rsidRPr="005E14A4">
        <w:rPr>
          <w:rFonts w:eastAsia="Calibri"/>
        </w:rPr>
        <w:t xml:space="preserve">Food, fluid, and nutritional needs of residents are provided in line with recognised nutritional guidelines and additional requirements/modified needs were being met.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Thornton Park has a current building warrant of fitness.</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Some standards applicable to this service partially attained and of low risk.</w:t>
            </w:r>
          </w:p>
        </w:tc>
      </w:tr>
    </w:tbl>
    <w:p w:rsidR="00460D43">
      <w:pPr>
        <w:spacing w:before="240" w:line="276" w:lineRule="auto"/>
        <w:rPr>
          <w:rFonts w:eastAsia="Calibri"/>
        </w:rPr>
      </w:pPr>
      <w:bookmarkStart w:id="27" w:name="RestraintMinimisationAndSafePractice"/>
      <w:r w:rsidRPr="005E14A4">
        <w:rPr>
          <w:rFonts w:eastAsia="Calibri"/>
        </w:rPr>
        <w:t xml:space="preserve">The service has policies and procedures to appropriately guide staff around consent processes and the use of enablers.  There were three enablers and two restraints in use.  Staff receive training in restraint as part of the annual training plan.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FFC8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Some standards applicable to this service partially attained and of medium or high risk and/or unattained and of low risk.</w:t>
            </w:r>
          </w:p>
        </w:tc>
      </w:tr>
    </w:tbl>
    <w:p w:rsidR="00460D43">
      <w:pPr>
        <w:spacing w:before="240" w:line="276" w:lineRule="auto"/>
        <w:rPr>
          <w:rFonts w:eastAsia="Calibri"/>
        </w:rPr>
      </w:pPr>
      <w:bookmarkStart w:id="30" w:name="InfectionPreventionAndControl"/>
      <w:r w:rsidRPr="005E14A4">
        <w:rPr>
          <w:rFonts w:eastAsia="Calibri"/>
        </w:rPr>
        <w:t xml:space="preserve">There is an infection control policy that includes surveillance activities.  The surveillance programme is appropriate to the size and complexity of the facility.  Infections are collected and collated monthly.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8</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7</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3</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31</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7</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3</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05"/>
        <w:gridCol w:w="1280"/>
        <w:gridCol w:w="90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The support services manager leads the investigation and management of complaints (verbal and written).  The clinical nurse manager is involved in any clinical concerns/complaints.  There is an up to date on-line complaints register.  There have been no complaints/concerns received since the previous audit.  Complaints forms are available.  Discussion with residents (three rest home and one hospital) and relative’s state management operate an open door policy and were aware of how to make a complaint.  </w:t>
              <w:br/>
              <w:t>D13.3h: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Twenty one incident forms were reviewed from March 2015 period.  All forms evidence family have been informed of an accident/incident.  Interview with one clinical nurse manager, one registered nurse (RN) and three caregivers confirm family are notified following changes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br/>
              <w:t>D16.1b.ii: The residents and family are informed prior to entry of the scope of services and any items they have to pay that is not covered by the agreement.</w:t>
              <w:br/>
              <w:t>D16.4b Relatives (one hospital and one rest home) stated that they were informed when their family members health status changes.</w:t>
              <w:br/>
              <w:t>D11.3 The information pack is available in large print and this can be read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Thornton Park provides rest home and hospital level of care for up to 42 residents.  There were 16 rest home and 19 hospital level residents (including five younger persons – two with long term chronic conditions and three young people with disabilities)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privately owned.  The clinical nurse manager has been in the role for five years and holds a bachelor’s degree and a postgraduate certificate in nursing.  She is supported by 24/7 registered nurses.  There is a non-clinical support services manager.  Both managers are responsible for the daily operations of the service.  The clinical nurse manager provides a monthly report to the directors.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improvement required around the review of the business plan.    </w:t>
            </w:r>
          </w:p>
          <w:p w:rsidR="00EB7645" w:rsidRPr="00BE00C7" w:rsidP="00BE00C7">
            <w:pPr>
              <w:pStyle w:val="OutcomeDescription"/>
              <w:spacing w:before="120" w:after="120"/>
              <w:rPr>
                <w:rFonts w:cs="Arial"/>
                <w:b w:val="0"/>
                <w:lang w:eastAsia="en-NZ"/>
              </w:rPr>
            </w:pPr>
            <w:r w:rsidRPr="00BE00C7">
              <w:rPr>
                <w:rFonts w:cs="Arial"/>
                <w:b w:val="0"/>
                <w:lang w:eastAsia="en-NZ"/>
              </w:rPr>
              <w:t>ARC,D17.3di: (rest home), D17.4b (hospital):  The clinical nurse manager has maintained at least eight hours annually of professional development activities related to managing a rest home/hospital.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risk management plan and risk assessments have been reviewed.  Policies and procedures are being implemented to provide assurance that the service is meeting accepted good practice and adhering to relevant standards - including those standards relating to the Health and Disability Services (Safety) Act 2001.  New/reviewed policies are available on-line for staff to access.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schedule that includes environmental and clinical audits.  The clinical nurse manager completes audits in consultation with the relevant key person.  Quality investigation forms are raised for any service shortfalls and signed off on completion.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D19.3:  There are health and safety policies in place to guide practice.  There is a current hazard register.  The service has an occupational health and safety (OSH) officer who has completed a recognized qualification in accident investigation.  </w:t>
            </w:r>
          </w:p>
          <w:p w:rsidR="00EB7645" w:rsidRPr="00BE00C7" w:rsidP="00BE00C7">
            <w:pPr>
              <w:pStyle w:val="OutcomeDescription"/>
              <w:spacing w:before="120" w:after="120"/>
              <w:rPr>
                <w:rFonts w:cs="Arial"/>
                <w:b w:val="0"/>
                <w:lang w:eastAsia="en-NZ"/>
              </w:rPr>
            </w:pPr>
            <w:r w:rsidRPr="00BE00C7">
              <w:rPr>
                <w:rFonts w:cs="Arial"/>
                <w:b w:val="0"/>
                <w:lang w:eastAsia="en-NZ"/>
              </w:rPr>
              <w:t>D19.2g:  Falls prevention strategies are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improvement required around surveys, communication of quality data and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D19.3c: The service collects incident and accident data which is collated monthly and entered into the on-line system (link 1.2.3.6).  Incident forms are completed by staff.  The RN reviews and assesses the resident at the time of event and the form is forwarded to the clinical nurse manager.  Twenty one incident forms were reviewed and were seen to have been completed and closed off (link 1.3.6.1).  Incidents/accidents are recorded in the progress notes.  </w:t>
              <w:br/>
              <w:t>Discussions with service management, confirmed an awareness of the requirement to notify relevant authorities in relation to essential notifications.  There have been no reportable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Annual practising certificates sighted were current.  Five staff files were reviewed and contain all required documentation except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booklet in place that newly appointed staff complete and these were sighted in the staff files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employs an external educator (RN) who is responsible for the development and coordination of the education programme.  Caregivers and one registered nurse (RN) interviewed state they attend on-site in service and have the opportunity to attend external education.  </w:t>
            </w:r>
          </w:p>
          <w:p w:rsidR="00EB7645" w:rsidRPr="00BE00C7" w:rsidP="00BE00C7">
            <w:pPr>
              <w:pStyle w:val="OutcomeDescription"/>
              <w:spacing w:before="120" w:after="120"/>
              <w:rPr>
                <w:rFonts w:cs="Arial"/>
                <w:b w:val="0"/>
                <w:lang w:eastAsia="en-NZ"/>
              </w:rPr>
            </w:pPr>
            <w:r w:rsidRPr="00BE00C7">
              <w:rPr>
                <w:rFonts w:cs="Arial"/>
                <w:b w:val="0"/>
                <w:lang w:eastAsia="en-NZ"/>
              </w:rPr>
              <w:t>Staff complete competencies/questionnaires relevant to their role.  There is a staff member with a current first aid certificate on every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procedures and guidelines that align with contractual requirements and include skill mixes.  There is a roster that provides sufficient and appropriate coverage for the effective delivery of care and support.  Residents and relatives confirm there are sufficient staff on duty at all times.  There is a registered nurse on duty 24/7.  The clinical nurse manager provides on-call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administration meet the guidelines for safe medicine management.  All medications were checked in on delivery.  RNs responsible for the administration of medication have completed medication education and competencies.  All administration signing sheets sampled (10) were completed correctly.  There are no standing orders.  There were no self-medicating residents.  The previous finding around self-medication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sampled.  There is an improvement required around medication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Thornton Park are prepared and cooked on site.  There is a four weekly seasonal menu developed and monitored by the Kitchen coordinator (qualified chef).  A dietitian review is underway.  There is a cook and kitchen hand on duty each day.  A dietary sheet is received from the RN for new residents and for any resident dietary changes.  Resident likes and dislikes are known and alternative foods offered.  Resident meetings allow for the opportunity for resident feedback on the meals and food services generally.  Interviews with residents and family members indicate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written record of each resident’s progress is documented.  When a resident's condition alters, the registered nurse initiates a review and if required, a GP consultation or referral to the appropriate health professional is actioned.  Contact with relatives regarding resident changes were sighted in the progress notes.  Relatives were notified of any incident/accidents as evidenced on the incident/accident forms.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were available and treatment rooms well stocked for use.  Wound map, assessment and wound dressing records have been completed for three skin tears, one minor wound and one chronic wound.  The one chronic wound is linked to the long term care plan.  Wound care and continence advice is available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shortfall remains around the documentation and implementation of interventions.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provides an activity program over four days a week which is flexible to meet the resident’s recreational preferences.  The daily programme is written up on the board and residents are kept informed of activities happening throughout the week.  Resident suggestions for outings, activities and entertainers are fed back through daily discussion.  One on one time is spent with residents who are unable to or do not choose to participate in the activity programme.  The service has two vans, one with wheelchair access for outings.  Maintaining community links are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care plan evaluations were completed for four out of five resident files and long term care plans updated with changes.  One hospital resident had not been at the service six months.  Care staff stated the RN involved them in the review of resident care plans.  The GP completes three monthly medical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displays a current building warrant of fitness which expires on 24 June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responsibilities for the infection control coordinator were not clearly defined.  This has not yet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All infections are entered onto an on-line infection data base with comparative monthly infection rates.  Surveillance infection control rates are collated and graphed.  There is no documented evidence of discussion at staff meetings around infection control rates, trends identified and corrective actions (link 1.2.3.6).  The infection control coordinator (clinical nurse manager) uses the information obtained through surveillance to plan and determine infection control activities, resources, and education needs within the facility.  There is close liaison with the GP that advises and provides feedback /information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restraint procedures.  The policy identifies that restraint is used as a last resort.  There are three enablers and two restraints in use.  Enabler use and assessments have not been reviewed.  Restraint minimisation education is provided annually.  A resource folder was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Responsibility for restraint coordination has not been clearly defined to identify responsibilities for the role including reporting and monitoring or enablers and restraints in use.  This continues to be an improvement from the certification audit.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10"/>
        <w:gridCol w:w="1280"/>
        <w:gridCol w:w="3294"/>
        <w:gridCol w:w="4072"/>
        <w:gridCol w:w="22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Thornton Park’s mission is to “provide quality care in a loving family-like environment”.  The service has local long serving staff caring for local people.  Staff, residents and family confirmed the service provides a family environment.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that the business plan and quality goals have been reviewed regularly.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goals of the organisation are reviewed regularly.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events, accident/incidents and internal audits are completed and collated monthly and entered into the on-line system.  Internal audits are completed as per schedule.  A resident/relative survey was conducted September 2013.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Monthly quality meetings, staff meetings and RN meetings have not occurred as per schedule.  (ii) There was no documented evidence of quality data including infections made available to staff or discussed in staff meetings.  (iii) The annual resident/relative survey has not been completed for 2014.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meetings are held as scheduled, the annual resident/relative survey is completed and quality data is discussed and documented in the meeting minutes.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performance appraisal system identifies education needs on an individual basis.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five staff files sampled did not have an annual appraisal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staff appraisals are conducted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medication charts sampled had been reviewed by the GP three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Five out of ten medication charts did not have each medication dated.  ii)  Two out of ten medication charts did not identify an allergy status.  iii) Five out of ten medication charts did not have photograph identification.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medication charts meet legislative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care plans sampled were developed and reviewed by the RN.  There is evidence of allied health input into residents care as required by referral such as physiotherapy, speech language therapist, diabetes clinic and mental health services.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five care plans did not evidence resident/family/whanau involvement in the care planning process.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written evidence of resident/family/whanau participation in the care planning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utilised for short term needs.  Changes to resident health status are discussed at handovers.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High falls risk status has not been reflected in the long term care plan for two hospital residents (link hospital tracer).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were no neurological observations for two hospital residents post fall with head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There was no pain assessment for one hospital resident with new episode of pain (link hospital tracer).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There was no short term care plan for a minor wound.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interventions are documented to reflect resident’s current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neurological observations are completed post head injury.  </w:t>
            </w:r>
          </w:p>
          <w:p w:rsidR="00EB7645" w:rsidRPr="00BE00C7" w:rsidP="00BE00C7">
            <w:pPr>
              <w:pStyle w:val="OutcomeDescription"/>
              <w:spacing w:before="120" w:after="120"/>
              <w:rPr>
                <w:rFonts w:cs="Arial"/>
                <w:b w:val="0"/>
                <w:lang w:eastAsia="en-NZ"/>
              </w:rPr>
            </w:pPr>
            <w:r w:rsidRPr="00BE00C7">
              <w:rPr>
                <w:rFonts w:cs="Arial"/>
                <w:b w:val="0"/>
                <w:lang w:eastAsia="en-NZ"/>
              </w:rPr>
              <w:t>iii) Ensure pain assessments are completed for residents with new pain so appropriate interventions can be identified.</w:t>
            </w:r>
          </w:p>
          <w:p w:rsidR="00EB7645" w:rsidRPr="00BE00C7" w:rsidP="00BE00C7">
            <w:pPr>
              <w:pStyle w:val="OutcomeDescription"/>
              <w:spacing w:before="120" w:after="120"/>
              <w:rPr>
                <w:rFonts w:cs="Arial"/>
                <w:b w:val="0"/>
                <w:lang w:eastAsia="en-NZ"/>
              </w:rPr>
            </w:pPr>
            <w:r w:rsidRPr="00BE00C7">
              <w:rPr>
                <w:rFonts w:cs="Arial"/>
                <w:b w:val="0"/>
                <w:lang w:eastAsia="en-NZ"/>
              </w:rPr>
              <w:t>iv) Wound management timeframes to be met for all wounds.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participating in activities on the days of audit.  Residents and family members interviewed enjoyed the activities offered.  Progress notes of individual resident participation was maintained in the integrated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 activity plans (two hospital and one rest home) have not been reviewed six monthly.  The activity plans have not been reviewed at the same time as the care plans.  Two residents (one rest home and one hospital) did not have activity plans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activity plans are in place for all residents and are reviewed six monthly at the same time as the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3.1.1</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responsibility for infection control is clearly defined and there are clear lines of accountability for infection control matters in the organisation leading to the governing body and/or senior management.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the infection control coordinator.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responsibilities for the infection control coordinator are not clearly defined.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responsibilities for the infection control coordinator are clearly defined.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residents with an enabler.  Consent forms have been voluntarily signed by the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 use and enabler assessment has not been reviewed six monthly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enabler use is assessed six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2.2.1.1</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responsibility for restraint process and approval is clearly defined and there are clear lines of accountability for restraint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a registered nurse.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Responsibility for restraint coordination has not been clearly defined.  This continues to be an improvement from the certification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restraint coordinator’s role and responsibilities are clearly defined.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Thornton Park Retirement Lodge Limited</w:t>
    </w:r>
    <w:bookmarkEnd w:id="58"/>
    <w:r>
      <w:rPr>
        <w:rFonts w:cs="Arial"/>
        <w:sz w:val="16"/>
        <w:szCs w:val="20"/>
      </w:rPr>
      <w:tab/>
      <w:t xml:space="preserve">Date of Audit: </w:t>
    </w:r>
    <w:bookmarkStart w:id="59" w:name="AuditStartDate1"/>
    <w:r>
      <w:rPr>
        <w:rFonts w:cs="Arial"/>
        <w:sz w:val="16"/>
        <w:szCs w:val="20"/>
      </w:rPr>
      <w:t>28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