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Mitchell Court (Tauranga)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Mitchell Court (Tauranga)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Mitchell Court</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30 March 2015</w:t>
      </w:r>
      <w:bookmarkEnd w:id="8"/>
      <w:r w:rsidRPr="009418D4">
        <w:rPr>
          <w:rFonts w:cs="Arial"/>
        </w:rPr>
        <w:tab/>
        <w:t xml:space="preserve">End date: </w:t>
      </w:r>
      <w:bookmarkStart w:id="9" w:name="AuditEndDate"/>
      <w:r w:rsidRPr="009418D4">
        <w:rPr>
          <w:rFonts w:cs="Arial"/>
        </w:rPr>
        <w:t>31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23</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Mitchell Court is privately owned and operated and cares for up to 35 residents requiring rest home level care.  On the day of the audit there were 23 residents.  The operational manager is well qualified and experienced for the role and is supported by a nurse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areas for improvement around open disclosure, advance directives, evaluation of activities plans, aspects of medication management and analysis of quality improvement data.</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are treated with dignity and respect.  Written information regarding consumers’ rights is provided to residents and families during the admission process.  Residents' cultural, spiritual and individual values and beliefs are assessed on admission.  A Maori health plan is incorporated into the delivery of services for Maori residents.  Evidence-based practice is evident, promoting and encouraging good practice.  Open disclosure following an adverse event is not always evident.  A system for managing complaints is in place.  The rights of the resident and/or their family to make a complaint is understood, respected and upheld by the service.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Quality goals are documented for the service.  An operational manager and nurse manager are responsible for the day-to-day operations of the facility.  </w:t>
      </w:r>
    </w:p>
    <w:p>
      <w:pPr>
        <w:spacing w:before="240" w:line="276" w:lineRule="auto"/>
        <w:rPr>
          <w:rFonts w:eastAsia="Calibri"/>
        </w:rPr>
      </w:pPr>
      <w:r>
        <w:rPr>
          <w:rFonts w:eastAsia="Calibri"/>
        </w:rPr>
        <w:t xml:space="preserve">Quality and risk management processes are being maintained.  Corrective actions document where opportunities for improvement are identified. </w:t>
      </w:r>
    </w:p>
    <w:p>
      <w:pPr>
        <w:spacing w:before="240" w:line="276" w:lineRule="auto"/>
        <w:rPr>
          <w:rFonts w:eastAsia="Calibri"/>
        </w:rPr>
      </w:pPr>
      <w:r>
        <w:rPr>
          <w:rFonts w:eastAsia="Calibri"/>
        </w:rPr>
        <w:t xml:space="preserve">A risk management programme is in place, which includes a risk management plan, incident and accident reporting, and health and safety processes.  Adverse, unplanned and untoward events are being documented by staff.  Human resources are managed in accordance with good employment practice, meeting legislative requirements.  An orientation programme is in place for new staff.  The education and training programme for staff is embedded into practice.  </w:t>
      </w:r>
    </w:p>
    <w:p>
      <w:pPr>
        <w:spacing w:before="240" w:line="276" w:lineRule="auto"/>
        <w:rPr>
          <w:rFonts w:eastAsia="Calibri"/>
        </w:rPr>
      </w:pPr>
      <w:r>
        <w:rPr>
          <w:rFonts w:eastAsia="Calibri"/>
        </w:rPr>
        <w:t xml:space="preserve">Nursing cover is provided by two registered nurses.  A registered nurse is always on call when not available onsite.  There are adequate numbers of staff on duty to ensure residents are safe.  </w:t>
      </w:r>
    </w:p>
    <w:p>
      <w:pPr>
        <w:spacing w:before="240" w:line="276" w:lineRule="auto"/>
        <w:rPr>
          <w:rFonts w:eastAsia="Calibri"/>
        </w:rPr>
      </w:pPr>
      <w:r>
        <w:rPr>
          <w:rFonts w:eastAsia="Calibri"/>
        </w:rPr>
        <w:t>The residents’ files are appropriate to the service type.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Entry to the service is managed primarily by the manager or nurse manager.  There is comprehensive service information available.  Initial assessments are completed by a registered nurse.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reviewed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has a current warrant of fitness and emergency evacuation plan.  On-going maintenance issues are addressed.  Chemicals are stored safely throughout the facility.  The majority of bedrooms are single occupancy and several have their own ensuite.  There is sufficient space to allow the movement of residents around the facility using mobility aids.  There are a number of small lounge and dining areas throughout the facility in addition to its main communal area and dining room.  The internal areas are able to be ventilated and heated.  The outdoor areas are safe and easily accessible.  Cleaning and maintenance staff are providing appropriate services.  Staff have planned and implemented strategies for emergency management.</w:t>
      </w:r>
    </w:p>
    <w:p w:rsidRPr="005E14A4">
      <w:pPr>
        <w:spacing w:before="240" w:line="276" w:lineRule="auto"/>
        <w:rPr>
          <w:rFonts w:eastAsia="Calibri"/>
        </w:rPr>
      </w:pPr>
      <w:r w:rsidRPr="005E14A4">
        <w:rPr>
          <w:rFonts w:eastAsia="Calibri"/>
        </w:rPr>
        <w:t xml:space="preserve">Emergency systems are in place in the event of a fire or external disaster.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No restraints or enablers are being used by the service.  Staff receive education and training on restraint minimisation.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5"/>
        <w:gridCol w:w="1280"/>
        <w:gridCol w:w="97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Maori.  Policy relating to the Code is implemented and staff can describe how the Code is implemented in their everyday delivery of care.  Staff receive training about the Code during their induction to the service, which continues through the education and training programme.  Interviews with care staff (one registered nurse and three care assistants)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included in the admission agreement and additional consents are signed by the resident or their EPOA.  Advanced directives are signed for separately.  There is not always evidence of discussion with family when the GP completed a clinically indicated not for resuscitation order.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sampled have a signed admission agreement that includes consents.  The other resident is on short term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residents and their family on admission.  This information is also available at reception.  Advocacy contact details are listed on the complaints forms.  Interviews with residents and family confirm their understanding of the availability of advocacy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relationships with their friends, and community groups by continuing to attend functions and events, and providing assistance to ensure that they are able to participate in as much as they can safely and desire to do.  Resident meetings are held two-monthly.  Links to the community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 lodged complaints.  Two complaints received in 2014 were reviewed.  Both complaints were managed in a timely manner including acknowledgements, investigations, and resolutions.  One complaint lodged with the Health and Disability Commissioner (HDC) in 2013 regarding a medication error remains under investigation.  Responses to HDC regarding this complaint meet specified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This information is also available at reception.  The operational manager and/or the registered nurse (RN) discuss aspects of the Code with residents and their family on admission.  Discussions relating to the Code are also held during the two-monthly resident meetings.  All seven residents and three families interviewed report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 to privacy and dignity is recognised and respected at all times.  The residents’ personal belongings are used to decorate their rooms.  Rooms are mostly single occupancy with two room’s double occupancy.  Two double occupancy rooms are being used for two married couples.  The care assistants interviewed report that they knock on bedroom doors prior to entering rooms, ensure doors are shut when cares are being given and do not hold personal discussions in public areas.  They report that they facilitate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residents and families interviewed report that their family member’s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Maori are valued and fostered within the service.  Staff value and encourage active participation and input of the family/whanau in the day-to-day care of the resident.  There were no Maori residents living at the facility during the audit.  Cultural values and beliefs are documented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cultural awareness during their induction to the service and as a regular education and training topic.  All care assistants interviewed, including one care assistant that identifies as Maori, could describe cultural needs identified by Maori and are aware of the importance of whanau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with the resident, family and/or their representative.  The service is committed to ensuring that each resident remains a person, even in a state of mental decline.  Beliefs and values are discussed and incorporated into the care plan, sighted in all five residents’ files reviewed.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defined in job descriptions.  In addition, staff complete a competency questionnaire relating to professional boundaries.  Interviews with all care staff confirmed their understanding of professional boundaries including the boundaries of the care assistants’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Two registered nurses are employed by the service (1.6 full time equivalents).  If not on site, a RN is on call seven days a week, 24 hours a day.  Residents are reviewed by the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Bay of Plenty District Health Board which includes visits from mental health services.  Physiotherapy services are available as needed.  There is a monthly in-service education and training programme for staff which includes in-services, questionnaires and competency assessments.  A podiatrist visits every two weeks.  A hairdresser is available once a week.  A van is available for regular outings.  Community outings include regular visits to other aged care facilities and community activity programmes.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interviewed expressed their satisfaction with the care delivered.  The GP interviewed is also satisfied with the level of care that is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have to pay that is not covered by the agreement.  Contact is maintained with family although accident/incident forms reviewed reflect family are not always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communication form is held in each resident’s file.  All family interviewed stated they were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Two-monthly residents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The information pack is available in large print and in other languages.  It is read to residents who are visually impaired.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Mitchell Court provides rest home level care for up to 35 residents.  On the day of the audit there were 23 residents living at the facility.  One resident was on respite.</w:t>
            </w:r>
          </w:p>
          <w:p w:rsidR="00EB7645" w:rsidRPr="00BE00C7" w:rsidP="00BE00C7">
            <w:pPr>
              <w:pStyle w:val="OutcomeDescription"/>
              <w:spacing w:before="120" w:after="120"/>
              <w:rPr>
                <w:rFonts w:cs="Arial"/>
                <w:b w:val="0"/>
                <w:lang w:eastAsia="en-NZ"/>
              </w:rPr>
            </w:pPr>
            <w:r w:rsidRPr="00BE00C7">
              <w:rPr>
                <w:rFonts w:cs="Arial"/>
                <w:b w:val="0"/>
                <w:lang w:eastAsia="en-NZ"/>
              </w:rPr>
              <w:t>A mission statement and associated values have been developed for the service.  Quality goals and objectives are established and reviewed annually.  The facility is part of the Cavell Group.  This group, which is comprised of five aged care facilities, share policies and procedures, provide internal auditing support for each other and provide an avenue for collegial support.  The group meets six-monthly.</w:t>
            </w:r>
          </w:p>
          <w:p w:rsidR="00EB7645" w:rsidRPr="00BE00C7" w:rsidP="00BE00C7">
            <w:pPr>
              <w:pStyle w:val="OutcomeDescription"/>
              <w:spacing w:before="120" w:after="120"/>
              <w:rPr>
                <w:rFonts w:cs="Arial"/>
                <w:b w:val="0"/>
                <w:lang w:eastAsia="en-NZ"/>
              </w:rPr>
            </w:pPr>
            <w:r w:rsidRPr="00BE00C7">
              <w:rPr>
                <w:rFonts w:cs="Arial"/>
                <w:b w:val="0"/>
                <w:lang w:eastAsia="en-NZ"/>
              </w:rPr>
              <w:t>The owner of the facility lives in Auckland.  She has delegated operations to the operational manager and nurse manager.  The owner visits the facility weekly and is provided with monthly management reports.</w:t>
            </w:r>
          </w:p>
          <w:p w:rsidR="00EB7645" w:rsidRPr="00BE00C7" w:rsidP="00BE00C7">
            <w:pPr>
              <w:pStyle w:val="OutcomeDescription"/>
              <w:spacing w:before="120" w:after="120"/>
              <w:rPr>
                <w:rFonts w:cs="Arial"/>
                <w:b w:val="0"/>
                <w:lang w:eastAsia="en-NZ"/>
              </w:rPr>
            </w:pPr>
            <w:r w:rsidRPr="00BE00C7">
              <w:rPr>
                <w:rFonts w:cs="Arial"/>
                <w:b w:val="0"/>
                <w:lang w:eastAsia="en-NZ"/>
              </w:rPr>
              <w:t>The operational manager has been in the role for over four years.  Previous experience includes auditing and managerial responsibilities in the health care sector.  She has maintained more than eight hours of professional development activities annually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the day-to-day operations in the absence of the operational manager.  The nurse manager reports that the operations manager is always available by telephone if she has any queries.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who are employed by the service, one being the nurse manager.  They provide cover for each other when one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schedule for document review.  New and/or revised policies are discussed with staff in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collecting data (eg, accidents and incidents, complaints, infections).  An annual internal audit schedule is in place.  Data is collected, there were examples of data being analysed, trended and used for service improvements.  Staff are informed regarding the number of accidents/incidents, medication errors and infections.  Corrective actions are documented where opportunities for improvements are identified.  Implementation of the corrective actions are not consistently documented on the corrective action forms, but were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developed for 2014/2015 include improving the induction programme for care assistants and addressing the high number of medication errors.  Implementation of these quality initiatives is forthcoming.  The operational manager reports that due to staffing issues in 2014, she was unable to implement these initiatives at the time. Corrective actions have been implemented since October 2014 due to high incidences of medication errors &amp; UTI’s. Nine service improvements were identified and implemented in relation to medications. The service identified that one of the reasons for the higher incidence of UTI’s was due to incorrect methodology. This information was provided at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Sensor mats are not currently being utilised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which includes a hazard identification policy, hazard register and temporary hazard register.  Health and safety is also included in the staff induction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in place.  Individual incident reports are completed for each incident/accident with immediate action noted and any follow up action required.  All thirty incident/accident forms reviewed reflected appropriate follow-up actions taken by registered nursing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monthly data relating to adverse, unplanned and untoward events.  This includes the collection of incident and accident information (link to finding 1.2.3.6). </w:t>
            </w:r>
          </w:p>
          <w:p w:rsidR="00EB7645" w:rsidRPr="00BE00C7" w:rsidP="00BE00C7">
            <w:pPr>
              <w:pStyle w:val="OutcomeDescription"/>
              <w:spacing w:before="120" w:after="120"/>
              <w:rPr>
                <w:rFonts w:cs="Arial"/>
                <w:b w:val="0"/>
                <w:lang w:eastAsia="en-NZ"/>
              </w:rPr>
            </w:pPr>
            <w:r w:rsidRPr="00BE00C7">
              <w:rPr>
                <w:rFonts w:cs="Arial"/>
                <w:b w:val="0"/>
                <w:lang w:eastAsia="en-NZ"/>
              </w:rPr>
              <w:t>The operational manager is aware of statutory requirements for essential notification.  This was also evidenced during a norovirus outbreak in December 2014 where the authorities were notified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maintains copies of other visiting health practitioners practising certificates.  Six staff files were selected for review (four care assistants and two registered nurses).  Evidence of signed employment contracts, job descriptions, orientation, and training was available for sighting.  Annual performance appraisals for staff are being completed.  Interviews with care assistants described the orientation programme, which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 service schedule is implemented and attendance is recorded.  Components of education and training also include staff completing questionnaires and visual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Two RNs are employed by the service, one who is the nurse manager.  Each RN works 32 hours per week.  An RN is available on call if not available on site.  Care staff are adequately rostered to meet the needs of the residents.  Separate laundry and cleaning staff are employed by the service with care assistants providing additional support if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staffing levels and the skill mix are appropriate and safe.  All residents and families interviewed advised that there is sufficient staffing on duty each shift.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in a secure room.  Archived records are secure in separate locked and inaccessible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 staff,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nurse manager screens all potential residents prior to entry and records all admission enquires.  Residents and relatives interviewed confirmed they received information prior to admission and had the opportunity to discuss the admission agreement with the clinical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except two of three open eye drops which have not been dated when opened.  Medication administration practice complies with the medication management policy for the medication round sighted.  Medication prescribed is not always signed as administered.  Registered nurses and medication competent caregivers administer medicines.  All staff that administer medication are competent and have received medication management training.  The facility uses a blister pack medication management system for the packaging of most tablets.  The RN on duty reconciles the delivery and documents this or the medication competent caregiver if medication arrives when the registered nurses are not on duty.  Medication charts are written correctly by medical practitioners and there was evidence of three monthly reviews by the GP.  There is transcribing of a short term and a new resident’s medication lists.  Standing orders are used and comply with current guidelines.  Three residents partially self-administer medicines and all have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chef works closely with the RNs on duty.  The kitchen staff have completed food safety training.  The chef and cooks follow a rotating seasonal menu which is currently in the process of review by a dietitian.  The temperatures of refrigerators, freezers and cooked foods are monitored and recorded.  There is special equipment available for residents if required.  All food is stored appropriately.  Residents and the family/whanau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residents/family/whanau.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Care plans reviewed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reviewed described the support required to meet the resident’s goals and needs and identified allied health involvement.  Residents and their family/whanau are involved in the care planning and review process.  Short 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nurse manager) and care assistants follow the plan and report progress against the plan each shift.  If external nursing or allied health advice is required the RNs will initiate a referral (eg, to the wound specialist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two residents with four wounds which are being appropriately managed.  The RNs have access to specialist nursing wound care management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from 10 am to 4.30 pm, four days per week to operate the activities programme for all residents.  Each resident has an individual activities assessment on admission and from this information an individual activities plan is developed by the activities staff.  Each resident is free to choose whether they wish to participate in the group activities programme or their individual plan.  Participation is monitored.  Group activities reflect ordinary patterns of life and include planned visits to the community.  All long term resident files sampled have a recent activities plan but there is no documented evidence of previous plans being evaluated.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 term care plan is evaluated at least six monthly or earlier if there is a change in health status.  There is at least a three monthly review by the GP.  All changes in health status are documented and followed up.  Care plan reviews are signed by an RN.  Short term care plans are evaluated and resolved or added to the long 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were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There is a part-time maintenance person employed to address the reactive and planned maintenance programme.  All medical and electrical equipment was recently serviced and 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ensuites and four have shared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dining area and a second lounge and dining area.  In addition there are a number of smaller lounges spaced throughout the facility.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by care assistants.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The operational manager reports that they aim to ensure all staff hold current CPR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rooms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Mitchell Court has an established infection control (IC) programme.  The infection control programme has been appropriate for the size, complexity and degree of risk associated with the service.  The nurse manager is the designated infection control coordinator with support from the other registered nurses and other Cavill Group infection control coordinators.  Staff meetings include review of infection control matters.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Mitchell Court.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 with support from the other registered nurse.  All infection control training has been documented and a record of attendance including questionnaires has been maintained.  Visitors are advised of any outbreaks of infection and are advised not to attend until the outbreak had been resolved (there has been no recent outbreaks).  Information was provided to residents and visitors that are appropriate to their needs and this was documented in medical records.  Education around infection prevention and control has been provided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nurse manager is the designated infection control coordinator.  Monthly infection data is collected for all infections based on signs and symptoms of infection.  Surveillance of all infections is entered on to a monthly resident infection data sheet but trend analysis is not documented (link 1.2.3.6).  The diarrhoea and vomiting outbreak in December 2014 appears to have been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including definitions.  The operational manager is the restraint coordinator.  During the audit there were no residents using a restraint or an enabler.  Staff receive education and training around restraint minimisation and managing challenging behaviours.  Staff understand the difference between an enabler and a restraint.  The entrance to the facility is gated with the security code in a visible location on both sides of the gate.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512"/>
        <w:gridCol w:w="2516"/>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have an advance directive.  One of these is signed by the resident and the GP as not for resuscitation.  One has been signed by the GP as resuscitation not being clinically indicated and there is evidence that there has been discussion with the family around this.  The other two are for residents not competent to make an advance directive and the GP has assessed the resuscitation is not clinically indicated.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five resident files sampled contain a clinically indicated not for resuscitation order signed by the GP but there is no evidence of this being discussed with the 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when the GP completes a clinically indicated not for resuscitation order that there is documented evidence that this has been discussed with the family or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form includes space to document family are informed.  This is also documented on the family communication sheet that is held in the front of each resident’s file.  A per policy, family are to be informed if there is an adverse event and associated injury.  Thirty accident/incident files were reviewed for the months from November 2014 to February 2015.  Accident/incident form did not always evidence family were contacted following an event.  The accident incident form on these occasions (10 out of 30 reviewed) either stated ‘no’ or was left blank.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not always documented on the accident/incident reporting forms that family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those clients who have not specifically requested that family are not to be notified, ensure family are kept informed following an adverse event.  For those clients where family are not to be informed, ensure the accident/incident form reflects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each month (eg, falls, infections, skin tears, medication errors).  While data is collected and there were examples of data being analysed and evaluated. There were shortfalls around documentation to reflect this was routinely completed.  The operational manager reports that staff are kept informed of the results although this is not routinely documented in the meeting minutes.  A monthly summary report is completed every month for incidents accidents, and any comments completed at the bottom of the report. Monthly summaries document trending of medication errors with increases and decreases identified. Where there has been a reduction increase or no UTI’s; on a number of occasions where there were documented evidence of high falls the reasoning for these and actions taken were documented. No trends in relation to times were found and therefore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data is collected and there were examples of data being analysed and evaluated. There were shortfalls around documentation to reflect this was routinely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documented evidence is available to verify that quality improvement data is analysed and evaluated with results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Mitchell Court has continued to review evaluate and implement new medication processes / tools to enhance safety around medication administration: This has included new medication packs, photograph and prompt sleeves for each resident in the medication file as when the photograph was on the medication sheet faxing made it difficult to decipher, separate packs for short term medications and packed controlled drugs.  They have implemented spot internal reviews of progress and care records, medication signing sheets and signing of controlled drug register.  All new medications are checked by the RN when they arrive or by a caregiver who is medication competent if the RN is not on duty and this is documented.  Standing orders have been reviewed and a separate standing orders sheet has been signed by each doctor with residents at the facility.  The RN on call must be contacted prior to standing orders medications being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short term resident and a new resident have transcribed lists that staff are using to administer medication (this was rectified on audit day for the new resident).  (ii) Two of 10 medication charts sampled had prescribed medications that have not always been signed as administered.  (iii) One of three open eye drops had not been dated when they were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transcribing does not occur.  (ii)  Ensure administration sheets document that all medications are administered as prescribed.  (iii) Ensure that all eye drops are dated when they are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long term residents have an activities plan with individualised goals and interventions that have been developed within the last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previous activities plans have been evaluated and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activities plans have a documented evaluation at the time the care plan is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Mitchell Court (Tauranga) Limited</w:t>
    </w:r>
    <w:bookmarkEnd w:id="58"/>
    <w:r>
      <w:rPr>
        <w:rFonts w:cs="Arial"/>
        <w:sz w:val="16"/>
        <w:szCs w:val="20"/>
      </w:rPr>
      <w:tab/>
      <w:t xml:space="preserve">Date of Audit: </w:t>
    </w:r>
    <w:bookmarkStart w:id="59" w:name="AuditStartDate1"/>
    <w:r>
      <w:rPr>
        <w:rFonts w:cs="Arial"/>
        <w:sz w:val="16"/>
        <w:szCs w:val="20"/>
      </w:rPr>
      <w:t>30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