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DD" w:rsidRPr="00854F70" w:rsidRDefault="004A604D" w:rsidP="009865DD">
      <w:pPr>
        <w:pStyle w:val="Heading1"/>
      </w:pPr>
      <w:bookmarkStart w:id="0" w:name="PRMS_RIName"/>
      <w:r w:rsidRPr="00854F70">
        <w:t>Avonlea Dementia Care Limited</w:t>
      </w:r>
      <w:bookmarkEnd w:id="0"/>
    </w:p>
    <w:p w:rsidR="009865DD" w:rsidRPr="00854F70" w:rsidRDefault="004A604D" w:rsidP="009865DD">
      <w:pPr>
        <w:pStyle w:val="Heading2"/>
      </w:pPr>
      <w:r w:rsidRPr="00854F70">
        <w:t xml:space="preserve">Current Status: </w:t>
      </w:r>
      <w:bookmarkStart w:id="1" w:name="AuditStartDate"/>
      <w:r w:rsidRPr="00854F70">
        <w:t>3 March 2014</w:t>
      </w:r>
      <w:bookmarkEnd w:id="1"/>
    </w:p>
    <w:p w:rsidR="009865DD" w:rsidRPr="005661ED" w:rsidRDefault="004A604D" w:rsidP="009865D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9865DD" w:rsidRPr="005A5CEB" w:rsidRDefault="004A604D" w:rsidP="009865DD">
      <w:pPr>
        <w:pStyle w:val="Heading2"/>
      </w:pPr>
      <w:r w:rsidRPr="005A5CEB">
        <w:t>General overview</w:t>
      </w:r>
    </w:p>
    <w:p w:rsidR="009865DD" w:rsidRDefault="004A604D" w:rsidP="009865DD">
      <w:pPr>
        <w:spacing w:before="240" w:after="0" w:line="276" w:lineRule="auto"/>
        <w:ind w:left="0"/>
        <w:rPr>
          <w:sz w:val="24"/>
        </w:rPr>
      </w:pPr>
      <w:bookmarkStart w:id="3" w:name="GeneralOverview"/>
      <w:r w:rsidRPr="005A5CEB">
        <w:rPr>
          <w:sz w:val="24"/>
        </w:rPr>
        <w:t>Avonlea Dementia Care currently provides dedicated dementia level care for up to 54 residents and hospital – geriatric medical level care for up to 10 residents.</w:t>
      </w:r>
      <w:r>
        <w:rPr>
          <w:sz w:val="24"/>
        </w:rPr>
        <w:t xml:space="preserve"> </w:t>
      </w:r>
      <w:r w:rsidRPr="005A5CEB">
        <w:rPr>
          <w:sz w:val="24"/>
        </w:rPr>
        <w:t>On the day of audit, there were 40 residents across four dementia homes and 10 residents in the hospital unit.</w:t>
      </w:r>
      <w:r>
        <w:rPr>
          <w:sz w:val="24"/>
        </w:rPr>
        <w:t xml:space="preserve"> </w:t>
      </w:r>
      <w:r w:rsidRPr="005A5CEB">
        <w:rPr>
          <w:sz w:val="24"/>
        </w:rPr>
        <w:t>The facility is divided into six separate units.</w:t>
      </w:r>
    </w:p>
    <w:p w:rsidR="009865DD" w:rsidRDefault="004A604D" w:rsidP="009865DD">
      <w:pPr>
        <w:spacing w:before="240" w:after="0" w:line="276" w:lineRule="auto"/>
        <w:ind w:left="0"/>
        <w:rPr>
          <w:sz w:val="24"/>
        </w:rPr>
      </w:pPr>
      <w:r w:rsidRPr="005A5CEB">
        <w:rPr>
          <w:sz w:val="24"/>
        </w:rPr>
        <w:t>This partial provisional audit was completed to review the services readiness and appropriateness to provide specialist hospital (Psychogeriatric) services in one of the current dementia units.</w:t>
      </w:r>
      <w:r>
        <w:rPr>
          <w:sz w:val="24"/>
        </w:rPr>
        <w:t xml:space="preserve"> </w:t>
      </w:r>
      <w:r w:rsidRPr="005A5CEB">
        <w:rPr>
          <w:sz w:val="24"/>
        </w:rPr>
        <w:t>The 11-bed unit is currently closed off and being renovated in preparation for the change of care level.</w:t>
      </w:r>
      <w:r>
        <w:rPr>
          <w:sz w:val="24"/>
        </w:rPr>
        <w:t xml:space="preserve"> </w:t>
      </w:r>
      <w:r w:rsidRPr="005A5CEB">
        <w:rPr>
          <w:sz w:val="24"/>
        </w:rPr>
        <w:t>The resident rooms and communal areas including bathrooms were assessed as appropriate for providing psychogeriatric (PG) level care.</w:t>
      </w:r>
      <w:r>
        <w:rPr>
          <w:sz w:val="24"/>
        </w:rPr>
        <w:t xml:space="preserve"> </w:t>
      </w:r>
      <w:r w:rsidRPr="005A5CEB">
        <w:rPr>
          <w:sz w:val="24"/>
        </w:rPr>
        <w:t>It was also identified that the staffing/roster, equipment and organisational policies/procedures and processes are appropriate for also providing psychogeriatric level care and in meeting the needs of the residents at Avonlea.</w:t>
      </w:r>
      <w:r>
        <w:rPr>
          <w:sz w:val="24"/>
        </w:rPr>
        <w:t xml:space="preserve"> </w:t>
      </w:r>
    </w:p>
    <w:p w:rsidR="009865DD" w:rsidRDefault="004A604D" w:rsidP="009865DD">
      <w:pPr>
        <w:spacing w:before="240" w:after="0" w:line="276" w:lineRule="auto"/>
        <w:ind w:left="0"/>
        <w:rPr>
          <w:sz w:val="24"/>
        </w:rPr>
      </w:pPr>
      <w:r w:rsidRPr="005A5CEB">
        <w:rPr>
          <w:sz w:val="24"/>
        </w:rPr>
        <w:t>The service is managed by an experienced aged care operations manager.</w:t>
      </w:r>
      <w:r>
        <w:rPr>
          <w:sz w:val="24"/>
        </w:rPr>
        <w:t xml:space="preserve"> </w:t>
      </w:r>
      <w:r w:rsidRPr="005A5CEB">
        <w:rPr>
          <w:sz w:val="24"/>
        </w:rPr>
        <w:t>She is supported by a clinical nurse manager, a stable staff and the management team at Dementia Care NZ.</w:t>
      </w:r>
    </w:p>
    <w:p w:rsidR="009865DD" w:rsidRDefault="004A604D" w:rsidP="009865DD">
      <w:pPr>
        <w:spacing w:before="240" w:after="0" w:line="276" w:lineRule="auto"/>
        <w:ind w:left="0"/>
        <w:rPr>
          <w:sz w:val="24"/>
        </w:rPr>
      </w:pPr>
      <w:r w:rsidRPr="005A5CEB">
        <w:rPr>
          <w:sz w:val="24"/>
        </w:rPr>
        <w:t>The service has addressed the previous one shortfall from their certification audit around medication fridge temperatures.</w:t>
      </w:r>
    </w:p>
    <w:p w:rsidR="00D97D99" w:rsidRDefault="004A604D" w:rsidP="009865DD">
      <w:pPr>
        <w:spacing w:before="240" w:after="0" w:line="276" w:lineRule="auto"/>
        <w:ind w:left="0"/>
        <w:rPr>
          <w:sz w:val="24"/>
        </w:rPr>
      </w:pPr>
      <w:r w:rsidRPr="005A5CEB">
        <w:rPr>
          <w:sz w:val="24"/>
        </w:rPr>
        <w:t xml:space="preserve">There is an improvement required by the service around completing identified building renovations to the </w:t>
      </w:r>
      <w:r>
        <w:rPr>
          <w:sz w:val="24"/>
        </w:rPr>
        <w:t>p</w:t>
      </w:r>
      <w:r w:rsidRPr="005A5CEB">
        <w:rPr>
          <w:sz w:val="24"/>
        </w:rPr>
        <w:t>sychogeriatric unit.</w:t>
      </w:r>
      <w:bookmarkEnd w:id="3"/>
    </w:p>
    <w:p w:rsidR="009865DD" w:rsidRDefault="009865DD" w:rsidP="00D97D99">
      <w:pPr>
        <w:sectPr w:rsidR="009865DD" w:rsidSect="009865DD">
          <w:pgSz w:w="11906" w:h="16838"/>
          <w:pgMar w:top="1440" w:right="1440" w:bottom="1440" w:left="1440" w:header="708" w:footer="708" w:gutter="0"/>
          <w:cols w:space="708"/>
          <w:docGrid w:linePitch="360"/>
        </w:sectPr>
      </w:pPr>
    </w:p>
    <w:p w:rsidR="00D97D99" w:rsidRDefault="00D97D99" w:rsidP="009865DD">
      <w:pPr>
        <w:pStyle w:val="Heading1"/>
      </w:pPr>
      <w:r>
        <w:lastRenderedPageBreak/>
        <w:t xml:space="preserve">HealthCERT Aged Residential Care Audit Report (version 4.0) </w:t>
      </w:r>
    </w:p>
    <w:p w:rsidR="00D97D99" w:rsidRDefault="00D97D99" w:rsidP="009865DD">
      <w:pPr>
        <w:pStyle w:val="Heading2"/>
        <w:rPr>
          <w:b/>
          <w:bCs/>
        </w:rPr>
      </w:pPr>
      <w:r>
        <w:rPr>
          <w:b/>
          <w:bCs/>
        </w:rPr>
        <w:t>Introduction</w:t>
      </w:r>
    </w:p>
    <w:p w:rsidR="00D97D99" w:rsidRDefault="00D97D99" w:rsidP="009865D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97D99" w:rsidRDefault="00D97D99" w:rsidP="009865D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97D99" w:rsidRDefault="00D97D99" w:rsidP="009865D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97D99" w:rsidRDefault="00D97D99" w:rsidP="009865D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3"/>
        <w:gridCol w:w="10771"/>
      </w:tblGrid>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4"/>
              </w:rPr>
            </w:pPr>
            <w:r>
              <w:t>Avonlea Dementia Care Limited</w:t>
            </w:r>
          </w:p>
        </w:tc>
      </w:tr>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4"/>
              </w:rPr>
            </w:pPr>
            <w:r>
              <w:t>Avonlea Dementia Care Limited</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4"/>
                <w:szCs w:val="24"/>
              </w:rPr>
            </w:pPr>
            <w:r>
              <w:t>Health and Disability Auditing New Zealand Limited</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3322"/>
        <w:gridCol w:w="1449"/>
        <w:gridCol w:w="2566"/>
        <w:gridCol w:w="1326"/>
        <w:gridCol w:w="5511"/>
      </w:tblGrid>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4"/>
                <w:szCs w:val="24"/>
              </w:rPr>
            </w:pPr>
            <w:r>
              <w:t>Partial Provisional Audit</w:t>
            </w:r>
          </w:p>
        </w:tc>
      </w:tr>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4"/>
              </w:rPr>
            </w:pPr>
            <w:r>
              <w:t>Avonlea Dementia Care</w:t>
            </w:r>
          </w:p>
        </w:tc>
      </w:tr>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4"/>
              </w:rPr>
            </w:pPr>
            <w:r>
              <w:t>Hospital services - Medical services; Hospital services - Geriatric services (excl. psychogeriatric); dementia care</w:t>
            </w:r>
          </w:p>
        </w:tc>
      </w:tr>
      <w:tr w:rsidR="00D97D99" w:rsidTr="00D97D99">
        <w:tc>
          <w:tcPr>
            <w:tcW w:w="365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97D99" w:rsidRDefault="00D97D99" w:rsidP="009865D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97D99" w:rsidRDefault="00D97D99" w:rsidP="009865DD">
            <w:pPr>
              <w:spacing w:before="60"/>
              <w:ind w:left="0"/>
              <w:rPr>
                <w:sz w:val="24"/>
                <w:szCs w:val="24"/>
              </w:rPr>
            </w:pPr>
            <w:r>
              <w:t>3 March 2014</w:t>
            </w:r>
          </w:p>
        </w:tc>
        <w:tc>
          <w:tcPr>
            <w:tcW w:w="1417" w:type="dxa"/>
            <w:tcBorders>
              <w:top w:val="single" w:sz="4" w:space="0" w:color="auto"/>
              <w:left w:val="nil"/>
              <w:bottom w:val="single" w:sz="4" w:space="0" w:color="auto"/>
              <w:right w:val="nil"/>
            </w:tcBorders>
            <w:hideMark/>
          </w:tcPr>
          <w:p w:rsidR="00D97D99" w:rsidRDefault="00D97D99" w:rsidP="009865D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97D99" w:rsidRDefault="00D97D99" w:rsidP="009865DD">
            <w:pPr>
              <w:spacing w:before="60"/>
              <w:ind w:left="0"/>
              <w:rPr>
                <w:sz w:val="24"/>
                <w:szCs w:val="24"/>
              </w:rPr>
            </w:pPr>
            <w:r>
              <w:t>3 March 2014</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4"/>
              </w:rPr>
            </w:pPr>
            <w:r>
              <w:rPr>
                <w:b/>
              </w:rPr>
              <w:t>Proposed changes to current services (if any):</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tabs>
                <w:tab w:val="left" w:pos="3885"/>
              </w:tabs>
              <w:spacing w:before="60"/>
              <w:ind w:left="0"/>
              <w:rPr>
                <w:sz w:val="24"/>
                <w:szCs w:val="24"/>
              </w:rPr>
            </w:pPr>
            <w:r>
              <w:rPr>
                <w:noProof/>
              </w:rPr>
              <w:t>To add specialist hospital services (psychogeriatric level care) .  The service is currently renovating one of their 11 bed dementia units to become a specific psychogeriatric unit.</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D97D99" w:rsidTr="00D97D99">
        <w:tc>
          <w:tcPr>
            <w:tcW w:w="1074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b/>
                <w:sz w:val="24"/>
                <w:szCs w:val="20"/>
              </w:rPr>
            </w:pPr>
            <w:r>
              <w:rPr>
                <w:szCs w:val="20"/>
              </w:rPr>
              <w:t>52</w:t>
            </w:r>
          </w:p>
        </w:tc>
      </w:tr>
    </w:tbl>
    <w:p w:rsidR="00D97D99" w:rsidRDefault="00D97D99" w:rsidP="009865DD">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D97D99" w:rsidTr="00D97D99">
        <w:trPr>
          <w:cantSplit/>
        </w:trPr>
        <w:tc>
          <w:tcPr>
            <w:tcW w:w="2235" w:type="dxa"/>
            <w:tcBorders>
              <w:top w:val="single" w:sz="4" w:space="0" w:color="auto"/>
              <w:left w:val="single" w:sz="4" w:space="0" w:color="auto"/>
              <w:bottom w:val="single" w:sz="4" w:space="0" w:color="auto"/>
              <w:right w:val="single" w:sz="4" w:space="0" w:color="auto"/>
            </w:tcBorders>
            <w:hideMark/>
          </w:tcPr>
          <w:p w:rsidR="00D97D99" w:rsidRDefault="00D97D99" w:rsidP="009865D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97D99" w:rsidRDefault="00D97D99" w:rsidP="009865D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rFonts w:cs="Arial"/>
                <w:sz w:val="20"/>
                <w:szCs w:val="20"/>
              </w:rPr>
            </w:pPr>
            <w:r>
              <w:rPr>
                <w:rFonts w:cs="Arial"/>
                <w:sz w:val="20"/>
                <w:szCs w:val="20"/>
              </w:rPr>
              <w:t>2</w:t>
            </w:r>
          </w:p>
        </w:tc>
      </w:tr>
      <w:tr w:rsidR="00D97D99" w:rsidTr="00D97D99">
        <w:trPr>
          <w:cantSplit/>
        </w:trPr>
        <w:tc>
          <w:tcPr>
            <w:tcW w:w="2235"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r>
      <w:tr w:rsidR="00D97D99" w:rsidTr="00D97D99">
        <w:trPr>
          <w:cantSplit/>
        </w:trPr>
        <w:tc>
          <w:tcPr>
            <w:tcW w:w="2235"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r>
      <w:tr w:rsidR="00D97D99" w:rsidTr="00D97D99">
        <w:trPr>
          <w:cantSplit/>
        </w:trPr>
        <w:tc>
          <w:tcPr>
            <w:tcW w:w="2235"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rFonts w:cs="Arial"/>
                <w:sz w:val="20"/>
                <w:szCs w:val="20"/>
              </w:rPr>
            </w:pPr>
          </w:p>
        </w:tc>
      </w:tr>
      <w:tr w:rsidR="00D97D99" w:rsidTr="00D97D99">
        <w:trPr>
          <w:cantSplit/>
        </w:trPr>
        <w:tc>
          <w:tcPr>
            <w:tcW w:w="223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97D99" w:rsidRDefault="00D97D99" w:rsidP="009865D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97D99" w:rsidRDefault="00D97D99" w:rsidP="009865D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97D99" w:rsidRDefault="00D97D99" w:rsidP="009865D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rFonts w:cs="Arial"/>
                <w:sz w:val="20"/>
                <w:szCs w:val="20"/>
              </w:rPr>
            </w:pPr>
            <w:r>
              <w:rPr>
                <w:rFonts w:cs="Arial"/>
                <w:sz w:val="20"/>
                <w:szCs w:val="20"/>
              </w:rPr>
              <w:t>1</w:t>
            </w:r>
          </w:p>
        </w:tc>
      </w:tr>
    </w:tbl>
    <w:p w:rsidR="00D97D99" w:rsidRDefault="00D97D99" w:rsidP="009865D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87"/>
        <w:gridCol w:w="1543"/>
        <w:gridCol w:w="3218"/>
        <w:gridCol w:w="1500"/>
        <w:gridCol w:w="3135"/>
        <w:gridCol w:w="1591"/>
      </w:tblGrid>
      <w:tr w:rsidR="00D97D99" w:rsidTr="00D97D99">
        <w:tc>
          <w:tcPr>
            <w:tcW w:w="351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3</w:t>
            </w:r>
          </w:p>
        </w:tc>
        <w:tc>
          <w:tcPr>
            <w:tcW w:w="345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7</w:t>
            </w:r>
          </w:p>
        </w:tc>
      </w:tr>
    </w:tbl>
    <w:p w:rsidR="00D97D99" w:rsidRDefault="00D97D99" w:rsidP="009865D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97D99" w:rsidTr="00D97D99">
        <w:tc>
          <w:tcPr>
            <w:tcW w:w="351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4</w:t>
            </w:r>
          </w:p>
        </w:tc>
      </w:tr>
      <w:tr w:rsidR="00D97D99" w:rsidTr="00D97D99">
        <w:tc>
          <w:tcPr>
            <w:tcW w:w="351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3</w:t>
            </w:r>
          </w:p>
        </w:tc>
      </w:tr>
      <w:tr w:rsidR="00D97D99" w:rsidTr="00D97D99">
        <w:tc>
          <w:tcPr>
            <w:tcW w:w="351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sz w:val="20"/>
                <w:szCs w:val="20"/>
                <w:lang w:eastAsia="en-NZ"/>
              </w:rPr>
            </w:pPr>
            <w:r>
              <w:rPr>
                <w:sz w:val="20"/>
                <w:szCs w:val="20"/>
                <w:lang w:eastAsia="en-NZ"/>
              </w:rPr>
              <w:t>59</w:t>
            </w:r>
          </w:p>
        </w:tc>
        <w:tc>
          <w:tcPr>
            <w:tcW w:w="340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keepNext/>
              <w:spacing w:before="60"/>
              <w:ind w:left="0"/>
              <w:jc w:val="center"/>
              <w:rPr>
                <w:sz w:val="20"/>
                <w:szCs w:val="20"/>
                <w:lang w:eastAsia="en-NZ"/>
              </w:rPr>
            </w:pPr>
          </w:p>
        </w:tc>
      </w:tr>
      <w:tr w:rsidR="00D97D99" w:rsidTr="00D97D99">
        <w:tc>
          <w:tcPr>
            <w:tcW w:w="351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D97D99" w:rsidRDefault="00D97D99" w:rsidP="009865D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97D99" w:rsidRDefault="00D97D99" w:rsidP="009865D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D97D99" w:rsidRDefault="00D97D99" w:rsidP="009865DD">
            <w:pPr>
              <w:spacing w:before="60"/>
              <w:ind w:left="0"/>
              <w:jc w:val="center"/>
              <w:rPr>
                <w:sz w:val="20"/>
                <w:szCs w:val="20"/>
                <w:lang w:eastAsia="en-NZ"/>
              </w:rPr>
            </w:pPr>
          </w:p>
        </w:tc>
      </w:tr>
    </w:tbl>
    <w:p w:rsidR="00D97D99" w:rsidRDefault="00D97D99" w:rsidP="009865DD">
      <w:pPr>
        <w:pStyle w:val="Heading2"/>
        <w:pageBreakBefore/>
        <w:rPr>
          <w:b/>
          <w:bCs/>
          <w:szCs w:val="32"/>
          <w:lang w:eastAsia="en-US"/>
        </w:rPr>
      </w:pPr>
      <w:r>
        <w:rPr>
          <w:b/>
          <w:bCs/>
        </w:rPr>
        <w:lastRenderedPageBreak/>
        <w:t>Declaration</w:t>
      </w:r>
    </w:p>
    <w:p w:rsidR="00D97D99" w:rsidRDefault="00D97D99" w:rsidP="009865D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D97D99" w:rsidRDefault="00D97D99" w:rsidP="009865D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Not Applicable</w:t>
            </w:r>
          </w:p>
        </w:tc>
      </w:tr>
      <w:tr w:rsidR="00D97D99" w:rsidTr="00D97D99">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r w:rsidR="00D97D99" w:rsidTr="00D97D99">
        <w:trPr>
          <w:trHeight w:val="60"/>
        </w:trPr>
        <w:tc>
          <w:tcPr>
            <w:tcW w:w="675"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rPr>
            </w:pPr>
            <w:r>
              <w:rPr>
                <w:szCs w:val="20"/>
              </w:rPr>
              <w:t>Yes</w:t>
            </w:r>
          </w:p>
        </w:tc>
      </w:tr>
    </w:tbl>
    <w:p w:rsidR="00D97D99" w:rsidRDefault="00D97D99" w:rsidP="009865DD">
      <w:pPr>
        <w:spacing w:before="240" w:after="0"/>
        <w:ind w:left="0"/>
        <w:rPr>
          <w:rFonts w:cstheme="minorBidi"/>
          <w:szCs w:val="20"/>
        </w:rPr>
      </w:pPr>
      <w:r>
        <w:rPr>
          <w:szCs w:val="20"/>
        </w:rPr>
        <w:t>Dated Monday, 10 March 2014</w:t>
      </w:r>
    </w:p>
    <w:p w:rsidR="00D97D99" w:rsidRDefault="00D97D99" w:rsidP="009865D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General Overview</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after="120"/>
              <w:ind w:left="0"/>
            </w:pPr>
            <w:r>
              <w:rPr>
                <w:rFonts w:cs="Arial"/>
              </w:rPr>
              <w:t>Avonlea Dementia Care currently provides dedicated dementia level care for up to 54 residents and hospital – geriatric medical level care for up to 10 residents.  On the day of audit, there were 40 residents across four dementia homes and 10 residents in the hospital unit.  The facility is divided into six separate units.</w:t>
            </w:r>
            <w:r>
              <w:rPr>
                <w:rFonts w:cs="Arial"/>
              </w:rPr>
              <w:br/>
              <w:t xml:space="preserve">This partial provisional audit was completed to review the services readiness and appropriateness to provide specialist hospital (Psychogeriatric) services in one of the current dementia units.  The 11-bed unit is currently closed off and being renovated in preparation for the change of care level.  The resident rooms and communal areas including bathrooms were assessed as appropriate for providing psychogeriatric (PG) level care.  It was also identified that the staffing/roster, equipment and organisational policies/procedures and processes are appropriate for also providing psychogeriatric level care and in meeting the needs of the residents at Avonlea.  </w:t>
            </w:r>
            <w:r>
              <w:rPr>
                <w:rFonts w:cs="Arial"/>
              </w:rPr>
              <w:br/>
              <w:t>The service is managed by an experienced aged care operations manager.  She is supported by a clinical nurse manager, a stable staff and the management team at Dementia Care NZ.</w:t>
            </w:r>
            <w:r>
              <w:rPr>
                <w:rFonts w:cs="Arial"/>
              </w:rPr>
              <w:br/>
              <w:t>The service has addressed the previous one shortfall from their certification audit around medication fridge temperatures.</w:t>
            </w:r>
            <w:r>
              <w:rPr>
                <w:rFonts w:cs="Arial"/>
              </w:rPr>
              <w:br/>
              <w:t>There is an improvement required by the service around completing identified building renovations to the PG unit.</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1.1: Consumer Rights</w:t>
            </w:r>
          </w:p>
        </w:tc>
      </w:tr>
      <w:tr w:rsidR="00D97D99" w:rsidTr="00D97D99">
        <w:tc>
          <w:tcPr>
            <w:tcW w:w="15559" w:type="dxa"/>
            <w:tcBorders>
              <w:top w:val="single" w:sz="4" w:space="0" w:color="auto"/>
              <w:left w:val="single" w:sz="4" w:space="0" w:color="auto"/>
              <w:bottom w:val="single" w:sz="4" w:space="0" w:color="auto"/>
              <w:right w:val="single" w:sz="4" w:space="0" w:color="auto"/>
            </w:tcBorders>
          </w:tcPr>
          <w:p w:rsidR="00D97D99" w:rsidRDefault="00D97D99" w:rsidP="009865DD">
            <w:pPr>
              <w:spacing w:before="60" w:after="120"/>
              <w:ind w:left="0"/>
              <w:rPr>
                <w:sz w:val="24"/>
                <w:szCs w:val="20"/>
              </w:rPr>
            </w:pP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1.2: Organisational Management</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after="120"/>
              <w:ind w:left="0"/>
              <w:rPr>
                <w:sz w:val="24"/>
                <w:szCs w:val="20"/>
              </w:rPr>
            </w:pPr>
            <w:r>
              <w:rPr>
                <w:rFonts w:cs="Arial"/>
                <w:bCs/>
                <w:noProof/>
              </w:rPr>
              <w:t xml:space="preserve">Dementia Care NZ is the parent company for Avonlea Dementia Care and has a current charter and business plan and a quality and risk organisational plan that aligns with the  business plan (July 13 - June 14). The  vision and values statement sets out the philosophy of the providers. Avonlea Dementia Care holds regular meetings including (but not limited to); quality, infection control, staff, health and safety and resident/family meetings. </w:t>
            </w:r>
            <w:r>
              <w:rPr>
                <w:rFonts w:cs="Arial"/>
                <w:bCs/>
                <w:noProof/>
              </w:rPr>
              <w:br/>
              <w:t xml:space="preserve">The operations manager of Avonlea reports to the proprietors on a range of issues on a monthly basis. The organisation provides training days with the clinical managers and senior management team to ensure at least eight hours annually of professional development activities occurs including those related to managing a hospital.  Caregivers complete the required dementia standards.  </w:t>
            </w:r>
            <w:r>
              <w:rPr>
                <w:rFonts w:cs="Arial"/>
                <w:bCs/>
                <w:noProof/>
              </w:rPr>
              <w:br/>
              <w:t xml:space="preserve">The organisation provides PG level care in six of their facilities.  There are relevant care and support policies including relevant clinical procedures for the management of hospital level residents.  </w:t>
            </w:r>
            <w:r>
              <w:rPr>
                <w:rFonts w:cs="Arial"/>
                <w:bCs/>
                <w:noProof/>
              </w:rPr>
              <w:br/>
              <w:t xml:space="preserve">The service has in place a comprehensive orientation programme that provides new staff with relevant information for safe work practice </w:t>
            </w:r>
            <w:r>
              <w:rPr>
                <w:rFonts w:cs="Arial"/>
                <w:bCs/>
                <w:noProof/>
              </w:rPr>
              <w:lastRenderedPageBreak/>
              <w:t>including (but not limited to)  clinical procedures, Non Violent Crisis Intervention. Competency packages are in place.</w:t>
            </w:r>
            <w:r>
              <w:rPr>
                <w:rFonts w:cs="Arial"/>
                <w:bCs/>
                <w:noProof/>
              </w:rPr>
              <w:br/>
              <w:t>The Staffing Levels policy is the documented rationale for determining staffing levels and skill mixes for safe service delivery.  The service has developed a draft roster for the introduction of psychogeriatric (PG) level care into Aroha unit.  There is a RN rostered across all shifts within the unit.</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1.3: Continuum of Service Delivery</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after="120"/>
              <w:ind w:left="0"/>
              <w:rPr>
                <w:sz w:val="24"/>
                <w:szCs w:val="20"/>
              </w:rPr>
            </w:pPr>
            <w:r>
              <w:rPr>
                <w:rFonts w:cs="Arial"/>
                <w:bCs/>
                <w:noProof/>
              </w:rPr>
              <w:t>The medication management system includes, medication policy and procedures that follows recognised standards and guidelines for safe medicine management practice in accord with the current guidelines.  There is a locked medication cupbaord in the psychogeriatric (PG) unit.  Controlled drugs are stored in a locked safe in a locked cupboard in hospital treatment room.  A controlled drug register is maintained. The previous shortfall around the medication fridge temperatures identified in the certification audit has been addressed.</w:t>
            </w:r>
            <w:r>
              <w:rPr>
                <w:rFonts w:cs="Arial"/>
                <w:bCs/>
                <w:noProof/>
              </w:rPr>
              <w:br/>
              <w:t xml:space="preserve">The annual in-service training also includes specific training around medication management.  Medicine management information is well established throughout Avonlea and the organisation.  </w:t>
            </w:r>
            <w:r>
              <w:rPr>
                <w:rFonts w:cs="Arial"/>
                <w:bCs/>
                <w:noProof/>
              </w:rPr>
              <w:br/>
              <w:t xml:space="preserve">The service has a central kitchen off one of the dementia  units.  Food is provided to the kitchenettes in each units via insulated trolleys. Food will be served to residents in the PG unit from the kitchenette.  The cooks have completed food safety certificates.  Food safety is also completed by staff as part of the annual in-service programme. There is a dietitian contracted who reviews and advises on menus 12 monthly and more often if necessary. </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1.4: Safe and Appropriate Environment</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after="120"/>
              <w:ind w:left="0"/>
              <w:rPr>
                <w:sz w:val="24"/>
                <w:szCs w:val="20"/>
              </w:rPr>
            </w:pPr>
            <w:r>
              <w:rPr>
                <w:rFonts w:cs="Arial"/>
                <w:bCs/>
                <w:noProof/>
              </w:rPr>
              <w:t>The service has in place management of waste and hazardous Materials policy and relevant procedures to support the safe disposal of waste and hazardous substances.  There is a secure sluice off the planned PG unit that includes chemicals in locked cupboards.  Protective equipment was sited in the sluice and laundry.</w:t>
            </w:r>
            <w:r>
              <w:rPr>
                <w:rFonts w:cs="Arial"/>
                <w:bCs/>
                <w:noProof/>
              </w:rPr>
              <w:br/>
              <w:t xml:space="preserve">The service has an equipment preventative maintenance programme in place to ensure that buildings, plant, and equipment are maintained appropriately.  There is a current building warrant of fitness displayed in the foyer that expires on the 1st July 2014. The planned psychogeriatric (PG) unit is in the process of being renovated.   </w:t>
            </w:r>
            <w:r>
              <w:rPr>
                <w:rFonts w:cs="Arial"/>
                <w:bCs/>
                <w:noProof/>
              </w:rPr>
              <w:br/>
              <w:t xml:space="preserve">The PG unit has corridors that allow residents to pass each other safely.  There is sufficient space to allow the safe use of mobility equipment.  Safety rails are appropriately located around the hallways and in the bathrooms.  Access to the outside is appropriate for mobility equipment. </w:t>
            </w:r>
            <w:r>
              <w:rPr>
                <w:rFonts w:cs="Arial"/>
                <w:bCs/>
                <w:noProof/>
              </w:rPr>
              <w:br/>
              <w:t xml:space="preserve">Outside area has seating and shade is provided.  Pathways, seating and grounds are well maintained. </w:t>
            </w:r>
            <w:r>
              <w:rPr>
                <w:rFonts w:cs="Arial"/>
                <w:bCs/>
                <w:noProof/>
              </w:rPr>
              <w:br/>
              <w:t>The PG unit (11 resident rooms) has one mobility bathroom (shower/toilet), and two other toilets.  The bathroom and one toilet are large enough for two staff and mobility equipment.</w:t>
            </w:r>
            <w:r>
              <w:rPr>
                <w:rFonts w:cs="Arial"/>
                <w:bCs/>
                <w:noProof/>
              </w:rPr>
              <w:br/>
              <w:t>Residents rooms are of sufficient space to allow care to be provided and for the safe use and manoeuvring of mobility aids and staff.  There is a combined dining area and lounge area that can accommodate hospital level (PG) residents and mobility aids.</w:t>
            </w:r>
            <w:r>
              <w:rPr>
                <w:rFonts w:cs="Arial"/>
                <w:bCs/>
                <w:noProof/>
              </w:rPr>
              <w:br/>
              <w:t xml:space="preserve">The laundry is located off the hospital unit with dirty/clean entrance/exit and effective separation of dirty laundry.  </w:t>
            </w:r>
            <w:r>
              <w:rPr>
                <w:rFonts w:cs="Arial"/>
                <w:bCs/>
                <w:noProof/>
              </w:rPr>
              <w:br/>
              <w:t xml:space="preserve">The service provides staff training to implement its policies and procedures for civil defence, equipment and other emergencies.  Fire safety </w:t>
            </w:r>
            <w:r>
              <w:rPr>
                <w:rFonts w:cs="Arial"/>
                <w:bCs/>
                <w:noProof/>
              </w:rPr>
              <w:lastRenderedPageBreak/>
              <w:t>and evacuation training is provided to staff during their orientation phase and at appropriate intervals.  There is an approved evacuation scheme. There is no changes required to the current evacuation plan and exit doors remain the same.  Civil defence kit and water supply is in place and meets requirements.</w:t>
            </w:r>
            <w:r>
              <w:rPr>
                <w:rFonts w:cs="Arial"/>
                <w:bCs/>
                <w:noProof/>
              </w:rPr>
              <w:br/>
              <w:t>Resident rooms, toilets/showers and the lounge/dining areas have call bells.  Senior staff also carry portable phones.</w:t>
            </w:r>
            <w:r>
              <w:rPr>
                <w:rFonts w:cs="Arial"/>
                <w:bCs/>
                <w:noProof/>
              </w:rPr>
              <w:br/>
              <w:t>Security policy is in place and a daily security check is documented.  General living areas and resident rooms are appropriately heated and ventilated.</w:t>
            </w: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2: Restraint Minimisation and Safe Practice</w:t>
            </w:r>
          </w:p>
        </w:tc>
      </w:tr>
      <w:tr w:rsidR="00D97D99" w:rsidTr="00D97D99">
        <w:tc>
          <w:tcPr>
            <w:tcW w:w="15559" w:type="dxa"/>
            <w:tcBorders>
              <w:top w:val="single" w:sz="4" w:space="0" w:color="auto"/>
              <w:left w:val="single" w:sz="4" w:space="0" w:color="auto"/>
              <w:bottom w:val="single" w:sz="4" w:space="0" w:color="auto"/>
              <w:right w:val="single" w:sz="4" w:space="0" w:color="auto"/>
            </w:tcBorders>
          </w:tcPr>
          <w:p w:rsidR="00D97D99" w:rsidRDefault="00D97D99" w:rsidP="009865DD">
            <w:pPr>
              <w:spacing w:before="60" w:after="120"/>
              <w:ind w:left="0"/>
              <w:rPr>
                <w:sz w:val="24"/>
                <w:szCs w:val="20"/>
              </w:rPr>
            </w:pPr>
          </w:p>
        </w:tc>
      </w:tr>
    </w:tbl>
    <w:p w:rsidR="00D97D99" w:rsidRDefault="00D97D99" w:rsidP="009865D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rPr>
                <w:b/>
                <w:sz w:val="24"/>
                <w:szCs w:val="20"/>
              </w:rPr>
            </w:pPr>
            <w:r>
              <w:rPr>
                <w:b/>
                <w:szCs w:val="20"/>
              </w:rPr>
              <w:t>Outcome 3: Infection Prevention and Control</w:t>
            </w:r>
          </w:p>
        </w:tc>
      </w:tr>
      <w:tr w:rsidR="00D97D99" w:rsidTr="00D97D99">
        <w:tc>
          <w:tcPr>
            <w:tcW w:w="15559"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after="120"/>
              <w:ind w:left="0"/>
              <w:rPr>
                <w:sz w:val="24"/>
                <w:szCs w:val="20"/>
              </w:rPr>
            </w:pPr>
            <w:r>
              <w:rPr>
                <w:bCs/>
                <w:noProof/>
              </w:rPr>
              <w:t>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w:t>
            </w:r>
          </w:p>
        </w:tc>
      </w:tr>
    </w:tbl>
    <w:p w:rsidR="00D97D99" w:rsidRDefault="00D97D99" w:rsidP="009865D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97D99" w:rsidTr="00D97D99">
        <w:tc>
          <w:tcPr>
            <w:tcW w:w="1387" w:type="dxa"/>
            <w:tcBorders>
              <w:top w:val="nil"/>
              <w:left w:val="nil"/>
              <w:bottom w:val="single" w:sz="4" w:space="0" w:color="auto"/>
              <w:right w:val="single" w:sz="4" w:space="0" w:color="auto"/>
            </w:tcBorders>
          </w:tcPr>
          <w:p w:rsidR="00D97D99" w:rsidRDefault="00D97D99" w:rsidP="009865D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0"/>
              </w:rPr>
            </w:pPr>
            <w:r>
              <w:rPr>
                <w:b/>
                <w:sz w:val="20"/>
                <w:szCs w:val="20"/>
              </w:rPr>
              <w:t>PA Critical</w:t>
            </w:r>
          </w:p>
        </w:tc>
      </w:tr>
      <w:tr w:rsidR="00D97D99" w:rsidTr="00D97D99">
        <w:tc>
          <w:tcPr>
            <w:tcW w:w="1387"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0"/>
                <w:lang w:eastAsia="en-NZ"/>
              </w:rPr>
            </w:pPr>
            <w:r>
              <w:rPr>
                <w:szCs w:val="20"/>
                <w:lang w:eastAsia="en-NZ"/>
              </w:rPr>
              <w:t>0</w:t>
            </w:r>
          </w:p>
        </w:tc>
      </w:tr>
      <w:tr w:rsidR="00D97D99" w:rsidTr="00D97D99">
        <w:tc>
          <w:tcPr>
            <w:tcW w:w="1387"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r>
    </w:tbl>
    <w:p w:rsidR="00D97D99" w:rsidRDefault="00D97D99" w:rsidP="009865DD">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D97D99" w:rsidTr="00D97D99">
        <w:tc>
          <w:tcPr>
            <w:tcW w:w="1387" w:type="dxa"/>
            <w:tcBorders>
              <w:top w:val="nil"/>
              <w:left w:val="nil"/>
              <w:bottom w:val="single" w:sz="4" w:space="0" w:color="auto"/>
              <w:right w:val="single" w:sz="4" w:space="0" w:color="auto"/>
            </w:tcBorders>
          </w:tcPr>
          <w:p w:rsidR="00D97D99" w:rsidRDefault="00D97D99" w:rsidP="009865D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before="60"/>
              <w:ind w:left="0"/>
              <w:jc w:val="center"/>
              <w:rPr>
                <w:b/>
                <w:sz w:val="20"/>
                <w:szCs w:val="24"/>
              </w:rPr>
            </w:pPr>
            <w:r>
              <w:rPr>
                <w:b/>
                <w:sz w:val="20"/>
              </w:rPr>
              <w:t>Not Audited</w:t>
            </w:r>
          </w:p>
        </w:tc>
      </w:tr>
      <w:tr w:rsidR="00D97D99" w:rsidTr="00D97D99">
        <w:tc>
          <w:tcPr>
            <w:tcW w:w="1387"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35</w:t>
            </w:r>
          </w:p>
        </w:tc>
      </w:tr>
      <w:tr w:rsidR="00D97D99" w:rsidTr="00D97D99">
        <w:tc>
          <w:tcPr>
            <w:tcW w:w="1387"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before="60"/>
              <w:ind w:left="0"/>
              <w:jc w:val="center"/>
              <w:rPr>
                <w:sz w:val="24"/>
                <w:szCs w:val="24"/>
                <w:lang w:eastAsia="en-NZ"/>
              </w:rPr>
            </w:pPr>
            <w:r>
              <w:rPr>
                <w:lang w:eastAsia="en-NZ"/>
              </w:rPr>
              <w:t>67</w:t>
            </w:r>
          </w:p>
        </w:tc>
      </w:tr>
    </w:tbl>
    <w:p w:rsidR="00D97D99" w:rsidRDefault="00D97D99" w:rsidP="009865DD">
      <w:pPr>
        <w:ind w:left="0"/>
        <w:rPr>
          <w:rFonts w:cstheme="minorBidi"/>
          <w:sz w:val="24"/>
        </w:rPr>
      </w:pPr>
    </w:p>
    <w:p w:rsidR="00D97D99" w:rsidRDefault="00D97D99" w:rsidP="009865DD">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85"/>
        <w:gridCol w:w="1983"/>
        <w:gridCol w:w="2666"/>
        <w:gridCol w:w="1617"/>
        <w:gridCol w:w="2192"/>
        <w:gridCol w:w="2436"/>
        <w:gridCol w:w="1395"/>
      </w:tblGrid>
      <w:tr w:rsidR="00D97D99" w:rsidTr="00D97D9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Timeframe (Days)</w:t>
            </w:r>
          </w:p>
        </w:tc>
      </w:tr>
      <w:tr w:rsidR="00D97D99" w:rsidTr="00D97D99">
        <w:trPr>
          <w:cantSplit/>
        </w:trPr>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r>
      <w:tr w:rsidR="00D97D99" w:rsidTr="00D97D99">
        <w:trPr>
          <w:cantSplit/>
        </w:trPr>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 xml:space="preserve">The planned PG unit is in the process of being renovated, including resident rooms and bathrooms.  </w:t>
            </w:r>
          </w:p>
        </w:tc>
        <w:tc>
          <w:tcPr>
            <w:tcW w:w="278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Complete all building renovations prior to occupancy</w:t>
            </w:r>
          </w:p>
        </w:tc>
        <w:tc>
          <w:tcPr>
            <w:tcW w:w="1444" w:type="dxa"/>
            <w:tcBorders>
              <w:top w:val="single" w:sz="4" w:space="0" w:color="auto"/>
              <w:left w:val="single" w:sz="4" w:space="0" w:color="auto"/>
              <w:bottom w:val="single" w:sz="4" w:space="0" w:color="auto"/>
              <w:right w:val="single" w:sz="4" w:space="0" w:color="auto"/>
            </w:tcBorders>
            <w:hideMark/>
          </w:tcPr>
          <w:p w:rsidR="00D97D99" w:rsidRDefault="00D97D99" w:rsidP="009865DD">
            <w:pPr>
              <w:spacing w:after="0"/>
              <w:ind w:left="0"/>
              <w:rPr>
                <w:sz w:val="20"/>
                <w:szCs w:val="20"/>
                <w:lang w:eastAsia="en-NZ"/>
              </w:rPr>
            </w:pPr>
            <w:r>
              <w:rPr>
                <w:sz w:val="20"/>
                <w:szCs w:val="20"/>
                <w:lang w:eastAsia="en-NZ"/>
              </w:rPr>
              <w:t>Prior to occupancy</w:t>
            </w:r>
          </w:p>
        </w:tc>
      </w:tr>
    </w:tbl>
    <w:p w:rsidR="00D97D99" w:rsidRDefault="00D97D99" w:rsidP="009865DD">
      <w:pPr>
        <w:ind w:left="0"/>
        <w:rPr>
          <w:rFonts w:cstheme="minorBidi"/>
          <w:lang w:eastAsia="en-NZ"/>
        </w:rPr>
      </w:pPr>
    </w:p>
    <w:p w:rsidR="00D97D99" w:rsidRDefault="00D97D99" w:rsidP="009865D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97D99" w:rsidTr="00D97D9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97D99" w:rsidRDefault="00D97D99" w:rsidP="009865DD">
            <w:pPr>
              <w:keepNext/>
              <w:spacing w:after="0"/>
              <w:ind w:left="0"/>
              <w:rPr>
                <w:b/>
                <w:sz w:val="20"/>
                <w:szCs w:val="20"/>
                <w:lang w:eastAsia="en-NZ"/>
              </w:rPr>
            </w:pPr>
            <w:r>
              <w:rPr>
                <w:b/>
                <w:sz w:val="20"/>
                <w:szCs w:val="20"/>
                <w:lang w:eastAsia="en-NZ"/>
              </w:rPr>
              <w:t>Finding</w:t>
            </w:r>
          </w:p>
        </w:tc>
      </w:tr>
      <w:tr w:rsidR="00D97D99" w:rsidTr="00D97D99">
        <w:trPr>
          <w:cantSplit/>
        </w:trPr>
        <w:tc>
          <w:tcPr>
            <w:tcW w:w="1984"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97D99" w:rsidRDefault="00D97D99" w:rsidP="009865DD">
            <w:pPr>
              <w:spacing w:after="0"/>
              <w:ind w:left="0"/>
              <w:rPr>
                <w:sz w:val="20"/>
                <w:szCs w:val="20"/>
                <w:lang w:eastAsia="en-NZ"/>
              </w:rPr>
            </w:pPr>
          </w:p>
        </w:tc>
      </w:tr>
    </w:tbl>
    <w:p w:rsidR="00D97D99" w:rsidRDefault="00D97D99" w:rsidP="009865DD">
      <w:pPr>
        <w:ind w:left="0"/>
        <w:rPr>
          <w:rFonts w:cstheme="minorBidi"/>
          <w:lang w:eastAsia="en-NZ"/>
        </w:rPr>
      </w:pPr>
    </w:p>
    <w:p w:rsidR="00D97D99" w:rsidRDefault="00D97D99" w:rsidP="009865DD">
      <w:pPr>
        <w:ind w:left="0"/>
        <w:rPr>
          <w:lang w:eastAsia="en-NZ"/>
        </w:rPr>
      </w:pPr>
    </w:p>
    <w:p w:rsidR="00EF6655" w:rsidRDefault="00EF6655">
      <w:pPr>
        <w:spacing w:after="0"/>
        <w:ind w:left="0"/>
        <w:rPr>
          <w:lang w:eastAsia="en-NZ"/>
        </w:rPr>
      </w:pPr>
      <w:r>
        <w:rPr>
          <w:lang w:eastAsia="en-NZ"/>
        </w:rPr>
        <w:br w:type="page"/>
      </w:r>
    </w:p>
    <w:p w:rsidR="00D97D99" w:rsidRDefault="00D97D99" w:rsidP="009865DD">
      <w:pPr>
        <w:pStyle w:val="Heading1"/>
      </w:pPr>
      <w:bookmarkStart w:id="4" w:name="_GoBack"/>
      <w:bookmarkEnd w:id="4"/>
      <w:r>
        <w:lastRenderedPageBreak/>
        <w:t>NZS 8134.1:2008: Health and Disability Services (Core) Standards</w:t>
      </w:r>
    </w:p>
    <w:p w:rsidR="00D97D99" w:rsidRDefault="00D97D99" w:rsidP="009865DD">
      <w:pPr>
        <w:pStyle w:val="Heading2"/>
        <w:rPr>
          <w:b/>
          <w:bCs/>
        </w:rPr>
      </w:pPr>
      <w:r>
        <w:rPr>
          <w:b/>
          <w:bCs/>
        </w:rPr>
        <w:t>Outcome 1.2: Organisational Management</w:t>
      </w:r>
    </w:p>
    <w:p w:rsidR="00D97D99" w:rsidRDefault="00D97D99" w:rsidP="009865DD">
      <w:pPr>
        <w:pStyle w:val="OutcomeDescription"/>
        <w:rPr>
          <w:lang w:eastAsia="en-NZ"/>
        </w:rPr>
      </w:pPr>
      <w:r>
        <w:rPr>
          <w:lang w:eastAsia="en-NZ"/>
        </w:rPr>
        <w:t>Consumers receive services that comply with legislation and are managed in a safe, efficient, and effective manner.</w:t>
      </w:r>
    </w:p>
    <w:p w:rsidR="00D97D99" w:rsidRDefault="00D97D99" w:rsidP="00EF6655">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 S.2008:1.2.1)</w:t>
      </w:r>
    </w:p>
    <w:p w:rsidR="00D97D99" w:rsidRDefault="00D97D99" w:rsidP="009865D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97D99" w:rsidRDefault="00D97D99" w:rsidP="009865D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 xml:space="preserve">Avonlea currently provides dedicated dementia rest home level care for up to 54 residents and hospital – geriatric medical level care for up to 10 residents.  On the day of audit, there were 41 residents in the dementia homes (one 11-bed home is currently being renovated for PG level care).  The facility is divided into six separate units.  </w:t>
            </w:r>
            <w:r>
              <w:rPr>
                <w:rFonts w:cs="Arial"/>
                <w:sz w:val="20"/>
                <w:szCs w:val="20"/>
              </w:rPr>
              <w:br/>
            </w:r>
            <w:proofErr w:type="spellStart"/>
            <w:r>
              <w:rPr>
                <w:rFonts w:cs="Arial"/>
                <w:sz w:val="20"/>
                <w:szCs w:val="20"/>
              </w:rPr>
              <w:t>Awhii</w:t>
            </w:r>
            <w:proofErr w:type="spellEnd"/>
            <w:r>
              <w:rPr>
                <w:rFonts w:cs="Arial"/>
                <w:sz w:val="20"/>
                <w:szCs w:val="20"/>
              </w:rPr>
              <w:t xml:space="preserve"> whanau includes eight resident beds, </w:t>
            </w:r>
            <w:proofErr w:type="spellStart"/>
            <w:proofErr w:type="gramStart"/>
            <w:r>
              <w:rPr>
                <w:rFonts w:cs="Arial"/>
                <w:sz w:val="20"/>
                <w:szCs w:val="20"/>
              </w:rPr>
              <w:t>Hoa</w:t>
            </w:r>
            <w:proofErr w:type="spellEnd"/>
            <w:r>
              <w:rPr>
                <w:rFonts w:cs="Arial"/>
                <w:sz w:val="20"/>
                <w:szCs w:val="20"/>
              </w:rPr>
              <w:t xml:space="preserve">  </w:t>
            </w:r>
            <w:proofErr w:type="spellStart"/>
            <w:r>
              <w:rPr>
                <w:rFonts w:cs="Arial"/>
                <w:sz w:val="20"/>
                <w:szCs w:val="20"/>
              </w:rPr>
              <w:t>Pumau</w:t>
            </w:r>
            <w:proofErr w:type="spellEnd"/>
            <w:proofErr w:type="gramEnd"/>
            <w:r>
              <w:rPr>
                <w:rFonts w:cs="Arial"/>
                <w:sz w:val="20"/>
                <w:szCs w:val="20"/>
              </w:rPr>
              <w:t xml:space="preserve"> includes 15 resident beds, Aroha includes 11 resident beds and </w:t>
            </w:r>
            <w:proofErr w:type="spellStart"/>
            <w:r>
              <w:rPr>
                <w:rFonts w:cs="Arial"/>
                <w:sz w:val="20"/>
                <w:szCs w:val="20"/>
              </w:rPr>
              <w:t>Mahal</w:t>
            </w:r>
            <w:proofErr w:type="spellEnd"/>
            <w:r>
              <w:rPr>
                <w:rFonts w:cs="Arial"/>
                <w:sz w:val="20"/>
                <w:szCs w:val="20"/>
              </w:rPr>
              <w:t xml:space="preserve"> (hospital)10, </w:t>
            </w:r>
            <w:proofErr w:type="spellStart"/>
            <w:r>
              <w:rPr>
                <w:rFonts w:cs="Arial"/>
                <w:sz w:val="20"/>
                <w:szCs w:val="20"/>
              </w:rPr>
              <w:t>Rudo</w:t>
            </w:r>
            <w:proofErr w:type="spellEnd"/>
            <w:r>
              <w:rPr>
                <w:rFonts w:cs="Arial"/>
                <w:sz w:val="20"/>
                <w:szCs w:val="20"/>
              </w:rPr>
              <w:t xml:space="preserve"> and </w:t>
            </w:r>
            <w:proofErr w:type="spellStart"/>
            <w:r>
              <w:rPr>
                <w:rFonts w:cs="Arial"/>
                <w:sz w:val="20"/>
                <w:szCs w:val="20"/>
              </w:rPr>
              <w:t>Ofa</w:t>
            </w:r>
            <w:proofErr w:type="spellEnd"/>
            <w:r>
              <w:rPr>
                <w:rFonts w:cs="Arial"/>
                <w:sz w:val="20"/>
                <w:szCs w:val="20"/>
              </w:rPr>
              <w:t xml:space="preserve"> house 10 resident beds in each.  There is one dedicated dementia respite bed.  </w:t>
            </w:r>
            <w:r>
              <w:rPr>
                <w:rFonts w:cs="Arial"/>
                <w:sz w:val="20"/>
                <w:szCs w:val="20"/>
              </w:rPr>
              <w:br/>
            </w:r>
            <w:r>
              <w:rPr>
                <w:rFonts w:cs="Arial"/>
                <w:sz w:val="20"/>
                <w:szCs w:val="20"/>
              </w:rPr>
              <w:br/>
              <w:t xml:space="preserve">The purpose of this partial provisional audit was to verify the appropriateness of Aroha unit to provide specialist hospital services – psychogeriatric (PG) level care across the units 11 beds.  As part of the organisations business planning that have determined that adding PG services will assist with 'aging in place' and will continue to align with their vision: ‘to create a loving, warm, and homely atmosphere where each person is supported to experience each moment richly'.  </w:t>
            </w:r>
            <w:r>
              <w:rPr>
                <w:rFonts w:cs="Arial"/>
                <w:sz w:val="20"/>
                <w:szCs w:val="20"/>
              </w:rPr>
              <w:br/>
            </w:r>
            <w:r>
              <w:rPr>
                <w:rFonts w:cs="Arial"/>
                <w:sz w:val="20"/>
                <w:szCs w:val="20"/>
              </w:rPr>
              <w:br/>
              <w:t xml:space="preserve">The vision and values statement sets out the philosophy of the providers.  Avonlea holds regular meetings including (but not limited to); quality, infection control, staff, health and safety and resident/family meetings.  </w:t>
            </w:r>
            <w:r>
              <w:rPr>
                <w:rFonts w:cs="Arial"/>
                <w:sz w:val="20"/>
                <w:szCs w:val="20"/>
              </w:rPr>
              <w:br/>
            </w:r>
            <w:r>
              <w:rPr>
                <w:rFonts w:cs="Arial"/>
                <w:sz w:val="20"/>
                <w:szCs w:val="20"/>
              </w:rPr>
              <w:br/>
              <w:t xml:space="preserve">ARHSS D5.1: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units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 care is to promote participation in life activities, promote physical and emotional wellness.  </w:t>
            </w:r>
            <w:r>
              <w:rPr>
                <w:rFonts w:cs="Arial"/>
                <w:sz w:val="20"/>
                <w:szCs w:val="20"/>
              </w:rPr>
              <w:br/>
            </w:r>
            <w:r>
              <w:rPr>
                <w:rFonts w:cs="Arial"/>
                <w:sz w:val="20"/>
                <w:szCs w:val="20"/>
              </w:rPr>
              <w:br/>
              <w:t xml:space="preserve">Dementia Care NZ is the parent company for Avonlea and has a current charter and business plan and a quality and risk organisational plan that aligns with </w:t>
            </w:r>
            <w:r>
              <w:rPr>
                <w:rFonts w:cs="Arial"/>
                <w:sz w:val="20"/>
                <w:szCs w:val="20"/>
              </w:rPr>
              <w:lastRenderedPageBreak/>
              <w:t>the business plan (July 13- June 14).  The operations manager and a quality and systems manager for the organisation manage the quality programme.  There are documented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w:t>
            </w:r>
            <w:r>
              <w:rPr>
                <w:rFonts w:cs="Arial"/>
                <w:sz w:val="20"/>
                <w:szCs w:val="20"/>
              </w:rPr>
              <w:br/>
              <w:t>Dementia Care NZ Ltd has well established business, strategic, quality and risk organisational plans being implemented at Avonlea.  The operations manager at Avonlea is responsible to the directors and reports on a monthly basis on a variety of issues relating to the strategic and quality plan.</w:t>
            </w:r>
            <w:r>
              <w:rPr>
                <w:rFonts w:cs="Arial"/>
                <w:sz w:val="20"/>
                <w:szCs w:val="20"/>
              </w:rPr>
              <w:br/>
              <w:t>The service has a reconfiguration services plan for the introduction of PG level care.</w:t>
            </w:r>
            <w:r>
              <w:rPr>
                <w:rFonts w:cs="Arial"/>
                <w:sz w:val="20"/>
                <w:szCs w:val="20"/>
              </w:rPr>
              <w:br/>
            </w:r>
            <w:r>
              <w:rPr>
                <w:rFonts w:cs="Arial"/>
                <w:sz w:val="20"/>
                <w:szCs w:val="20"/>
              </w:rPr>
              <w:br/>
              <w:t xml:space="preserve">ARHSS D17.5 (hospital), The operations manager is an experienced aged care manager and has been in the role for the last four years.  She has completed a management course and has worked in various management roles within the organisation during the last 11 years.  The clinical manager (has been in the role for the last three months) and currently provides clinical oversight to service.  She has four years’ experience in other PG units.  The organisation provides training days with the clinical managers and senior management team to ensure at least eight hours annually of professional development activities occurs including those related to managing a hospital.  The managers at Avonlea are supported by the management team of Dementia Care NZ.  </w:t>
            </w:r>
            <w:r>
              <w:rPr>
                <w:rFonts w:cs="Arial"/>
                <w:sz w:val="20"/>
                <w:szCs w:val="20"/>
              </w:rPr>
              <w:br/>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D97D99" w:rsidRDefault="00D97D99" w:rsidP="009865D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D97D99" w:rsidRDefault="00D97D99" w:rsidP="009865D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During a temporary absence of the operations manager, the clinical nurse manager assumes the role.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sz w:val="20"/>
                <w:szCs w:val="20"/>
              </w:rPr>
              <w:br/>
            </w:r>
            <w:r>
              <w:rPr>
                <w:rFonts w:cs="Arial"/>
                <w:sz w:val="20"/>
                <w:szCs w:val="20"/>
              </w:rPr>
              <w:br/>
              <w:t>The organisation provides PG level care in six of their facilities.  There are relevant care and support policies including relevant clinical procedures for the management of hospital level residents.  At Avonlea there is currently a house GP, Physiotherapist and a dietitian (visits monthly).  There is also an organisational Occupational Therapist.  At an organisational level there is a Principal Clinical Services Manager that provides clinical support and leadership.  Allied health professionals are accessed on an as required basis.</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D97D99" w:rsidRDefault="00D97D99" w:rsidP="009865D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97D99" w:rsidRDefault="00D97D99" w:rsidP="009865D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 xml:space="preserve">Avonlea currently employs a total of 59 staff.  Staff orientation policy and procedures includes training and support packages for operations manager, registered nurses, caregivers, activities team, cook, and kitchen staff.  There are job descriptions available for all positions and </w:t>
            </w:r>
            <w:proofErr w:type="gramStart"/>
            <w:r>
              <w:rPr>
                <w:rFonts w:cs="Arial"/>
                <w:sz w:val="20"/>
                <w:szCs w:val="20"/>
              </w:rPr>
              <w:t>staff have</w:t>
            </w:r>
            <w:proofErr w:type="gramEnd"/>
            <w:r>
              <w:rPr>
                <w:rFonts w:cs="Arial"/>
                <w:sz w:val="20"/>
                <w:szCs w:val="20"/>
              </w:rPr>
              <w:t xml:space="preserve"> employment contracts.  </w:t>
            </w:r>
            <w:r>
              <w:rPr>
                <w:rFonts w:cs="Arial"/>
                <w:sz w:val="20"/>
                <w:szCs w:val="20"/>
              </w:rPr>
              <w:br/>
              <w:t xml:space="preserve">Four staff files were reviewed (clinical nurse manager, registered nurse, two caregivers).  Job descriptions were evident in all files reviewed.  Performance appraisals are up to date.  </w:t>
            </w:r>
            <w:r>
              <w:rPr>
                <w:rFonts w:cs="Arial"/>
                <w:sz w:val="20"/>
                <w:szCs w:val="20"/>
              </w:rPr>
              <w:br/>
              <w:t>The recruitment and staff selection process requires that relevant checks be completed to validate the individual’s qualifications, experience and veracity.  A copy of practising certificates sighted for all registered nurses, and allied/medical staff.</w:t>
            </w:r>
            <w:r>
              <w:rPr>
                <w:rFonts w:cs="Arial"/>
                <w:sz w:val="20"/>
                <w:szCs w:val="20"/>
              </w:rPr>
              <w:t> </w:t>
            </w:r>
            <w:r>
              <w:rPr>
                <w:rFonts w:cs="Arial"/>
                <w:sz w:val="20"/>
                <w:szCs w:val="20"/>
              </w:rPr>
              <w:t xml:space="preserve">  </w:t>
            </w:r>
            <w:r>
              <w:rPr>
                <w:rFonts w:cs="Arial"/>
                <w:sz w:val="20"/>
                <w:szCs w:val="20"/>
              </w:rPr>
              <w:br/>
            </w:r>
            <w:r>
              <w:rPr>
                <w:rFonts w:cs="Arial"/>
                <w:sz w:val="20"/>
                <w:szCs w:val="20"/>
              </w:rPr>
              <w:br/>
              <w:t>There are comprehensive human resources manual, which includes policies around recruitment, selection, orientation and staff training and development.  Four staff files were reviewed.  Reference checks are completed before employment is offered and are evident in the four staff files reviewed.</w:t>
            </w:r>
            <w:r>
              <w:rPr>
                <w:rFonts w:cs="Arial"/>
                <w:sz w:val="20"/>
                <w:szCs w:val="20"/>
              </w:rPr>
              <w:t> </w:t>
            </w:r>
            <w:r>
              <w:rPr>
                <w:rFonts w:cs="Arial"/>
                <w:sz w:val="20"/>
                <w:szCs w:val="20"/>
              </w:rPr>
              <w:t> </w:t>
            </w:r>
            <w:r>
              <w:rPr>
                <w:rFonts w:cs="Arial"/>
                <w:sz w:val="20"/>
                <w:szCs w:val="20"/>
              </w:rPr>
              <w:t> </w:t>
            </w:r>
            <w:r>
              <w:rPr>
                <w:rFonts w:cs="Arial"/>
                <w:sz w:val="20"/>
                <w:szCs w:val="20"/>
              </w:rPr>
              <w:t xml:space="preserve">  </w:t>
            </w:r>
            <w:r>
              <w:rPr>
                <w:rFonts w:cs="Arial"/>
                <w:sz w:val="20"/>
                <w:szCs w:val="20"/>
              </w:rPr>
              <w:br/>
            </w:r>
            <w:r>
              <w:rPr>
                <w:rFonts w:cs="Arial"/>
                <w:sz w:val="20"/>
                <w:szCs w:val="20"/>
              </w:rPr>
              <w:br/>
              <w:t>ARHSS D 17.9: Orientation programme and packages for all roles.  The orientation programme is relevant to dementia care, hospital and PG level care and includes a session how to implement activities and therapies.  The service has in place a comprehensive orientation programme that provides new staff with relevant information for safe work practice.</w:t>
            </w:r>
            <w:r>
              <w:rPr>
                <w:rFonts w:cs="Arial"/>
                <w:sz w:val="20"/>
                <w:szCs w:val="20"/>
              </w:rPr>
              <w:br/>
              <w:t xml:space="preserve">ARHSS D17.10 Competency packages for registered nurses include - 'best friends' approach to care, restraint minimisation and safe practice, first aid, ACE dementia series, delirium, syringe driver, medication, neurological conditions and leadership.  </w:t>
            </w:r>
            <w:r>
              <w:rPr>
                <w:rFonts w:cs="Arial"/>
                <w:sz w:val="20"/>
                <w:szCs w:val="20"/>
              </w:rPr>
              <w:br/>
              <w:t xml:space="preserve">Caregivers competency package - 'best friends' approach to care, restraint minimisation and safe practice, first aid, taking vital signs, safe medication administration,  ACE programme and leadership.  All staff also </w:t>
            </w:r>
            <w:proofErr w:type="gramStart"/>
            <w:r>
              <w:rPr>
                <w:rFonts w:cs="Arial"/>
                <w:sz w:val="20"/>
                <w:szCs w:val="20"/>
              </w:rPr>
              <w:t>complete</w:t>
            </w:r>
            <w:proofErr w:type="gramEnd"/>
            <w:r>
              <w:rPr>
                <w:rFonts w:cs="Arial"/>
                <w:sz w:val="20"/>
                <w:szCs w:val="20"/>
              </w:rPr>
              <w:t xml:space="preserve"> safe food handling, chemical safety, safe manual handling (hoist use), bi-cultural awareness and infection control.  </w:t>
            </w:r>
            <w:r>
              <w:rPr>
                <w:rFonts w:cs="Arial"/>
                <w:sz w:val="20"/>
                <w:szCs w:val="20"/>
              </w:rPr>
              <w:br/>
            </w:r>
            <w:r>
              <w:rPr>
                <w:rFonts w:cs="Arial"/>
                <w:sz w:val="20"/>
                <w:szCs w:val="20"/>
              </w:rPr>
              <w:br/>
              <w:t xml:space="preserve">An education coordinator is employed to oversee the organisation's education programme for all homes and is available to facilitate sessions.  The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improvement initiatives.  The education coordinator manages a spreadsheet of all staff and records all completed orientations, competencies and education attended.  </w:t>
            </w:r>
            <w:r>
              <w:rPr>
                <w:rFonts w:cs="Arial"/>
                <w:sz w:val="20"/>
                <w:szCs w:val="20"/>
              </w:rPr>
              <w:br/>
            </w:r>
            <w:r>
              <w:rPr>
                <w:rFonts w:cs="Arial"/>
                <w:sz w:val="20"/>
                <w:szCs w:val="20"/>
              </w:rPr>
              <w:br/>
              <w:t xml:space="preserve">ARHSS D17.11:  There are 48 caregivers employed in Avonlea that work across the dementia units.  Twenty-nine have completed the required dementia standards, and seven caregivers are in the process of completing.  There </w:t>
            </w:r>
            <w:proofErr w:type="gramStart"/>
            <w:r>
              <w:rPr>
                <w:rFonts w:cs="Arial"/>
                <w:sz w:val="20"/>
                <w:szCs w:val="20"/>
              </w:rPr>
              <w:t>are</w:t>
            </w:r>
            <w:proofErr w:type="gramEnd"/>
            <w:r>
              <w:rPr>
                <w:rFonts w:cs="Arial"/>
                <w:sz w:val="20"/>
                <w:szCs w:val="20"/>
              </w:rPr>
              <w:t xml:space="preserve"> 11 new staff that are yet to commence.  Advised caregivers with dementia training will be </w:t>
            </w:r>
            <w:proofErr w:type="spellStart"/>
            <w:r>
              <w:rPr>
                <w:rFonts w:cs="Arial"/>
                <w:sz w:val="20"/>
                <w:szCs w:val="20"/>
              </w:rPr>
              <w:t>rostered</w:t>
            </w:r>
            <w:proofErr w:type="spellEnd"/>
            <w:r>
              <w:rPr>
                <w:rFonts w:cs="Arial"/>
                <w:sz w:val="20"/>
                <w:szCs w:val="20"/>
              </w:rPr>
              <w:t xml:space="preserve"> to work in the PG unit.  The manager stated that they have sufficient caregivers currently to cover the PG roster.  The organisation supports new graduates with competency packages.  All RNs have commenced their PDRP and annual RN study days are held.  Three sessions based around 'leadership tools' have been held with RNs.</w:t>
            </w:r>
            <w:r>
              <w:rPr>
                <w:rFonts w:cs="Arial"/>
                <w:sz w:val="20"/>
                <w:szCs w:val="20"/>
              </w:rPr>
              <w:br/>
            </w:r>
            <w:r>
              <w:rPr>
                <w:rFonts w:cs="Arial"/>
                <w:sz w:val="20"/>
                <w:szCs w:val="20"/>
              </w:rPr>
              <w:lastRenderedPageBreak/>
              <w:br/>
              <w:t xml:space="preserve">ARHSS D17.7:  A diversional therapist currently working in </w:t>
            </w:r>
            <w:proofErr w:type="spellStart"/>
            <w:r>
              <w:rPr>
                <w:rFonts w:cs="Arial"/>
                <w:sz w:val="20"/>
                <w:szCs w:val="20"/>
              </w:rPr>
              <w:t>Admatha</w:t>
            </w:r>
            <w:proofErr w:type="spellEnd"/>
            <w:r>
              <w:rPr>
                <w:rFonts w:cs="Arial"/>
                <w:sz w:val="20"/>
                <w:szCs w:val="20"/>
              </w:rPr>
              <w:t xml:space="preserve"> Lodge (PG) is transferring to take on the activities role at Avonlea within the PG unit.  She has completed (but not limited to); the dementia standards, 'best friends' approach to care, Non-violent crisis intervention training.</w:t>
            </w:r>
            <w:r>
              <w:rPr>
                <w:rFonts w:cs="Arial"/>
                <w:sz w:val="20"/>
                <w:szCs w:val="20"/>
              </w:rPr>
              <w:br/>
            </w:r>
            <w:r>
              <w:rPr>
                <w:rFonts w:cs="Arial"/>
                <w:sz w:val="20"/>
                <w:szCs w:val="20"/>
              </w:rPr>
              <w:br/>
              <w:t>There is an in-service calendar completed for 2013 and currently being implemented for 2014.  The annual training programme well exceeds eight hours annually.  Additionally, all caregivers are supported to complete the aged care education certificate core and dementia standards.</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97D99" w:rsidRDefault="00D97D99" w:rsidP="009865D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lastRenderedPageBreak/>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D97D99" w:rsidRDefault="00D97D99" w:rsidP="009865D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97D99" w:rsidRDefault="00D97D99" w:rsidP="009865D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rPr>
            </w:pPr>
            <w:r>
              <w:rPr>
                <w:rFonts w:cs="Arial"/>
              </w:rPr>
              <w:t xml:space="preserve">The Staffing Levels policy is the documented rationale for determining staffing levels and skill mixes for safe service delivery.  Rosters are currently in place and show staff coverage across the dementia units and the hospital unit.  There is </w:t>
            </w:r>
            <w:proofErr w:type="gramStart"/>
            <w:r>
              <w:rPr>
                <w:rFonts w:cs="Arial"/>
              </w:rPr>
              <w:t>an</w:t>
            </w:r>
            <w:proofErr w:type="gramEnd"/>
            <w:r>
              <w:rPr>
                <w:rFonts w:cs="Arial"/>
              </w:rPr>
              <w:t xml:space="preserve"> registered nurse (RN) on 24/7 in the hospital unit.  </w:t>
            </w:r>
            <w:r>
              <w:rPr>
                <w:rFonts w:cs="Arial"/>
              </w:rPr>
              <w:br/>
            </w:r>
          </w:p>
          <w:p w:rsidR="00D97D99" w:rsidRDefault="00D97D99" w:rsidP="009865DD">
            <w:pPr>
              <w:spacing w:before="60"/>
              <w:ind w:left="0"/>
              <w:rPr>
                <w:rFonts w:cs="Arial"/>
                <w:sz w:val="20"/>
                <w:szCs w:val="20"/>
              </w:rPr>
            </w:pPr>
            <w:r>
              <w:rPr>
                <w:rFonts w:cs="Arial"/>
              </w:rPr>
              <w:t xml:space="preserve">The service has developed a draft roster for the introduction of PG care into Aroha unit.  Currently the service has eight registered nurses that work at Avonlea.  The manager has determined that although they can currently cover all 24 hours, another two RN’s will be employed.  The service also accesses RNs from </w:t>
            </w:r>
            <w:proofErr w:type="spellStart"/>
            <w:r>
              <w:rPr>
                <w:rFonts w:cs="Arial"/>
              </w:rPr>
              <w:t>Admatha</w:t>
            </w:r>
            <w:proofErr w:type="spellEnd"/>
            <w:r>
              <w:rPr>
                <w:rFonts w:cs="Arial"/>
              </w:rPr>
              <w:t xml:space="preserve"> as required as well.  </w:t>
            </w:r>
            <w:r>
              <w:rPr>
                <w:rFonts w:cs="Arial"/>
              </w:rPr>
              <w:br/>
              <w:t>There is a clinical manager three days a week and two days she works as a RN in the hospital.</w:t>
            </w:r>
            <w:r>
              <w:rPr>
                <w:rFonts w:cs="Arial"/>
              </w:rPr>
              <w:br/>
              <w:t>ARHSS D17.3, D17.8</w:t>
            </w:r>
            <w:r>
              <w:rPr>
                <w:rFonts w:cs="Arial"/>
              </w:rPr>
              <w:br/>
              <w:t>PG unit (11 residents).</w:t>
            </w:r>
            <w:r>
              <w:rPr>
                <w:rFonts w:cs="Arial"/>
              </w:rPr>
              <w:br/>
              <w:t>AM shift:</w:t>
            </w:r>
            <w:r>
              <w:rPr>
                <w:rFonts w:cs="Arial"/>
              </w:rPr>
              <w:br/>
              <w:t>RN 06.45 - 1515</w:t>
            </w:r>
            <w:r>
              <w:rPr>
                <w:rFonts w:cs="Arial"/>
              </w:rPr>
              <w:br/>
              <w:t>caregiver 0700 - 1500</w:t>
            </w:r>
            <w:r>
              <w:rPr>
                <w:rFonts w:cs="Arial"/>
              </w:rPr>
              <w:br/>
              <w:t>caregiver 0700 - 1230</w:t>
            </w:r>
            <w:r>
              <w:rPr>
                <w:rFonts w:cs="Arial"/>
              </w:rPr>
              <w:br/>
            </w:r>
            <w:r>
              <w:rPr>
                <w:rFonts w:cs="Arial"/>
              </w:rPr>
              <w:br/>
              <w:t>PM shift:</w:t>
            </w:r>
            <w:r>
              <w:rPr>
                <w:rFonts w:cs="Arial"/>
              </w:rPr>
              <w:br/>
              <w:t>RN 1500 - 2315</w:t>
            </w:r>
            <w:r>
              <w:rPr>
                <w:rFonts w:cs="Arial"/>
              </w:rPr>
              <w:br/>
              <w:t>caregiver 1500 - 2300</w:t>
            </w:r>
            <w:r>
              <w:rPr>
                <w:rFonts w:cs="Arial"/>
              </w:rPr>
              <w:br/>
              <w:t>caregiver 1700 - 2100</w:t>
            </w:r>
            <w:r>
              <w:rPr>
                <w:rFonts w:cs="Arial"/>
              </w:rPr>
              <w:br/>
              <w:t>DT 1300 - 1700</w:t>
            </w:r>
            <w:r>
              <w:rPr>
                <w:rFonts w:cs="Arial"/>
              </w:rPr>
              <w:br/>
            </w:r>
            <w:r>
              <w:rPr>
                <w:rFonts w:cs="Arial"/>
              </w:rPr>
              <w:br/>
            </w:r>
            <w:proofErr w:type="spellStart"/>
            <w:r>
              <w:rPr>
                <w:rFonts w:cs="Arial"/>
              </w:rPr>
              <w:t>Nocte</w:t>
            </w:r>
            <w:proofErr w:type="spellEnd"/>
            <w:r>
              <w:rPr>
                <w:rFonts w:cs="Arial"/>
              </w:rPr>
              <w:t>:</w:t>
            </w:r>
            <w:r>
              <w:rPr>
                <w:rFonts w:cs="Arial"/>
              </w:rPr>
              <w:br/>
              <w:t>RN 2300 - 0700</w:t>
            </w:r>
            <w:r>
              <w:rPr>
                <w:rFonts w:cs="Arial"/>
              </w:rPr>
              <w:br/>
              <w:t>caregiver 2300 -0700</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2"/>
        <w:rPr>
          <w:b/>
          <w:bCs/>
        </w:rPr>
      </w:pPr>
      <w:r>
        <w:rPr>
          <w:b/>
          <w:bCs/>
        </w:rPr>
        <w:t>Outcome 1.3: Continuum of Service Delivery</w:t>
      </w:r>
    </w:p>
    <w:p w:rsidR="00D97D99" w:rsidRDefault="00D97D99" w:rsidP="009865D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97D99" w:rsidRDefault="00D97D99" w:rsidP="00EF6655">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D97D99" w:rsidRDefault="00D97D99" w:rsidP="009865D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97D99" w:rsidRDefault="00D97D99" w:rsidP="009865D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rPr>
              <w:t xml:space="preserve">ARHSS D19.2d: 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Pr>
                <w:rFonts w:cs="Arial"/>
              </w:rPr>
              <w:t>i</w:t>
            </w:r>
            <w:proofErr w:type="spellEnd"/>
            <w:r>
              <w:rPr>
                <w:rFonts w:cs="Arial"/>
              </w:rPr>
              <w:t xml:space="preserve">) emergency medications, j) staff training, k) storage and administration of controlled drugs, l) alternative medication and m) medication audit. </w:t>
            </w:r>
            <w:r>
              <w:rPr>
                <w:rFonts w:cs="Arial"/>
              </w:rPr>
              <w:br/>
              <w:t xml:space="preserve">The service uses two weekly robotic systems for regular medication and medico blister packs for PRN medications.  The RN checks these on arrival from the supplying pharmacy.  </w:t>
            </w:r>
            <w:r>
              <w:rPr>
                <w:rFonts w:cs="Arial"/>
              </w:rPr>
              <w:br/>
            </w:r>
            <w:r>
              <w:rPr>
                <w:rFonts w:cs="Arial"/>
              </w:rPr>
              <w:lastRenderedPageBreak/>
              <w:t xml:space="preserve">ARHSS D15.3g: There is a locked cupboard in the new PG unit, which includes a new medication trolley.  Stock medication and controlled drug safe is kept in the hospital treatment room.  Medication reconciliation is implemented via the 'Medication Management on Admission and Transfer policy' RN's deemed competent will administer medications in the PG unit.  </w:t>
            </w:r>
            <w:proofErr w:type="gramStart"/>
            <w:r>
              <w:rPr>
                <w:rFonts w:cs="Arial"/>
              </w:rPr>
              <w:t>Orientation to medications include</w:t>
            </w:r>
            <w:proofErr w:type="gramEnd"/>
            <w:r>
              <w:rPr>
                <w:rFonts w:cs="Arial"/>
              </w:rPr>
              <w:t xml:space="preserve"> a self-learning package and supervised medication rounds.  Annual competency and medication education has been completed for staff across the </w:t>
            </w:r>
            <w:proofErr w:type="gramStart"/>
            <w:r>
              <w:rPr>
                <w:rFonts w:cs="Arial"/>
              </w:rPr>
              <w:t>facility that administer</w:t>
            </w:r>
            <w:proofErr w:type="gramEnd"/>
            <w:r>
              <w:rPr>
                <w:rFonts w:cs="Arial"/>
              </w:rPr>
              <w:t xml:space="preserve"> medication.  </w:t>
            </w:r>
            <w:r>
              <w:rPr>
                <w:rFonts w:cs="Arial"/>
              </w:rPr>
              <w:br/>
            </w:r>
            <w:r>
              <w:rPr>
                <w:rFonts w:cs="Arial"/>
              </w:rPr>
              <w:br/>
              <w:t>The hospital unit has emergency medications, suction and oxygen concentrator.  Nurse Maude is accessed for advice, resources and syringe drivers as required.  RNs have completed syringe driver competencies 2013.  Medication training is provided annually (May 13) and CD administration Sept 2013.</w:t>
            </w:r>
            <w:r>
              <w:rPr>
                <w:rFonts w:cs="Arial"/>
              </w:rPr>
              <w:br/>
              <w:t xml:space="preserve">The previous report identified a gap around the medication fridge temperature (0-1 degrees Celsius) recorded.  This has been addressed by the service and the daily records sited confirmed this.  </w:t>
            </w:r>
            <w:r>
              <w:rPr>
                <w:rFonts w:cs="Arial"/>
              </w:rPr>
              <w:br/>
              <w:t xml:space="preserve">D16.5.e.i.2; Eight medication charts (hospital) reviewed identified that the GP had seen the reviewed the resident three monthly and the medication chart was signed.  GP prescribing meets the legislative requirements.  All medication charts had current photo identification and allergies noted.  Special medication instructions and precautionary advice is recorded on the medication charts.  There </w:t>
            </w:r>
            <w:proofErr w:type="gramStart"/>
            <w:r>
              <w:rPr>
                <w:rFonts w:cs="Arial"/>
              </w:rPr>
              <w:t>is no gaps</w:t>
            </w:r>
            <w:proofErr w:type="gramEnd"/>
            <w:r>
              <w:rPr>
                <w:rFonts w:cs="Arial"/>
              </w:rPr>
              <w:t xml:space="preserve"> in the administration signing sheets.</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97D99" w:rsidRDefault="00D97D99" w:rsidP="009865D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D97D99" w:rsidRDefault="00D97D99" w:rsidP="009865D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97D99" w:rsidRDefault="00D97D99" w:rsidP="009865D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rPr>
              <w:t xml:space="preserve">There is a kitchen service manual located in the kitchen which covers all aspects of food preparation, kitchen management, food safety, kitchen cleaning, and kitchen procedures.  The main kitchen provides food to all the kitchenettes in each unit.  </w:t>
            </w:r>
            <w:r>
              <w:rPr>
                <w:rFonts w:cs="Arial"/>
              </w:rPr>
              <w:br/>
              <w:t xml:space="preserve">Food is to be transported by hot boxes to the PG unit and serviced from the open plan kitchenette.  Temperature checks are undertaken daily for the fridges, freezers, sanitizer, and hot foods at each mealtime (sighted).  </w:t>
            </w:r>
            <w:r>
              <w:rPr>
                <w:rFonts w:cs="Arial"/>
              </w:rPr>
              <w:br/>
              <w:t xml:space="preserve">Food in the pantry is stored off the floor and stock is rotated each week when the food order is delivered.  Perishable food is covered and dated in the fridges.  The cooks have undertaken food safety and hygiene training.  </w:t>
            </w:r>
            <w:r>
              <w:rPr>
                <w:rFonts w:cs="Arial"/>
              </w:rPr>
              <w:br/>
              <w:t>Food safety competencies are also completed with all staff.  The two cooks have completed food-handling certs.</w:t>
            </w:r>
            <w:r>
              <w:rPr>
                <w:rFonts w:cs="Arial"/>
              </w:rPr>
              <w:br/>
              <w:t>There is a four weekly menu in place.  An organisational food services management consultant reviews and advises on menus 12 monthly and more often if necessary.  The service also has access to a Dietitian monthly for review of resident needs.  A resident dietary profile is undertaken on each resident on admission and a copy provided to the cook and updated as required by the RN’s.  These were sighted in a folder in the kitchen.</w:t>
            </w:r>
            <w:r>
              <w:rPr>
                <w:rFonts w:cs="Arial"/>
              </w:rPr>
              <w:br/>
            </w:r>
            <w:r>
              <w:rPr>
                <w:rFonts w:cs="Arial"/>
              </w:rPr>
              <w:lastRenderedPageBreak/>
              <w:t xml:space="preserve">Special diets (e.g. gluten-free), meal textures, likes and dislikes are known and catered for.  </w:t>
            </w:r>
            <w:r>
              <w:rPr>
                <w:rFonts w:cs="Arial"/>
              </w:rPr>
              <w:br/>
              <w:t xml:space="preserve">Special equipment is available as required such as lipped plates.  There is a fridge in the PG unit, advised that this will be stocked to ensure nutrition needs are met across the 24 hours.  Nutrition and hydration is identified as a component of the care plan.  </w:t>
            </w:r>
            <w:r>
              <w:rPr>
                <w:rFonts w:cs="Arial"/>
              </w:rPr>
              <w:br/>
              <w:t xml:space="preserve">Kitchen service audits undertaken March and Sept 13 have 100% compliance.  Ecolab provide the chemicals and conduct quality control checks.  Chemicals are stored safely.  Common kitchen hazards are identified.  </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2"/>
        <w:rPr>
          <w:b/>
          <w:bCs/>
        </w:rPr>
      </w:pPr>
      <w:r>
        <w:rPr>
          <w:b/>
          <w:bCs/>
        </w:rPr>
        <w:t>Outcome 1.4: Safe and Appropriate Environment</w:t>
      </w:r>
    </w:p>
    <w:p w:rsidR="00D97D99" w:rsidRDefault="00D97D99" w:rsidP="009865D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97D99" w:rsidRDefault="00D97D99" w:rsidP="00EF6655">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D97D99" w:rsidRDefault="00D97D99" w:rsidP="009865D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D97D99" w:rsidRDefault="00D97D99" w:rsidP="009865D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rPr>
              <w:t xml:space="preserve">The service has in place management of waste and hazardous materials policy and relevant procedures to support the safe disposal of waste and hazardous substances.  These include, (but are not limited to): a) sharps procedure and b) cleaning/chemicals procedures and c) exposure </w:t>
            </w:r>
            <w:r>
              <w:rPr>
                <w:rFonts w:cs="Arial"/>
              </w:rPr>
              <w:lastRenderedPageBreak/>
              <w:t>to blood or other body fluid contamination policy.  Annual training is provided to the staff January 2013.  There is a sluice on the other side of the PG unit that would be accessed and includes chemicals in locked cupboards.</w:t>
            </w:r>
            <w:r>
              <w:rPr>
                <w:rFonts w:cs="Arial"/>
              </w:rPr>
              <w:br/>
              <w:t xml:space="preserve">Infection control policies state specific tasks and duties for which protective equipment is to be worn.  Chemicals are labelled and there is appropriate protective equipment and clothing for staff.  Protective equipment was </w:t>
            </w:r>
            <w:proofErr w:type="spellStart"/>
            <w:r>
              <w:rPr>
                <w:rFonts w:cs="Arial"/>
              </w:rPr>
              <w:t>sited</w:t>
            </w:r>
            <w:proofErr w:type="spellEnd"/>
            <w:r>
              <w:rPr>
                <w:rFonts w:cs="Arial"/>
              </w:rPr>
              <w:t xml:space="preserve"> in the sluice and laundry.</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D97D99" w:rsidRDefault="00D97D99" w:rsidP="009865D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97D99" w:rsidRDefault="00D97D99" w:rsidP="009865D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rPr>
            </w:pPr>
            <w:r>
              <w:t xml:space="preserve">The service has an equipment preventative maintenance programme in place to ensure that buildings, plant, and equipment are maintained appropriately.  There is a current building warrant of fitness displayed in the foyer that expires on the 1st July 2014.  The planned PG unit is in the process of being renovated.  Shared </w:t>
            </w:r>
            <w:proofErr w:type="spellStart"/>
            <w:r>
              <w:t>ensuites</w:t>
            </w:r>
            <w:proofErr w:type="spellEnd"/>
            <w:r>
              <w:t xml:space="preserve"> between rooms have been removed to make for larger resident rooms.  </w:t>
            </w:r>
            <w:r>
              <w:br/>
              <w:t>The maintenance person checks the maintenance books in each nurse station for day-to-day requests.  Hot water temperature is checked weekly at the nearest and furthest point from the heating source.  There is a pool of contractors available for larger maintenance problems.  Planned maintenance schedules are in place for internal and external building maintenance.  All resident related equipment has been checked.  Electrical testing of equipment is current.  Contractors complete a work sheet and report that is forwarded to the operations manager.  An environmental safety audit is completed six monthly.</w:t>
            </w:r>
            <w:r>
              <w:br/>
              <w:t>ARHSS D.4.1c:  The small PG unit provides a homelike and safe environment.</w:t>
            </w:r>
            <w:r>
              <w:br/>
              <w:t>ARHSS D15.2a: Relatives are encouraged to bring in some of the residents personal furniture possessions if able.</w:t>
            </w:r>
            <w:r>
              <w:br/>
              <w:t>ARHSS D15.3a</w:t>
            </w:r>
            <w:proofErr w:type="gramStart"/>
            <w:r>
              <w:t>,b,c</w:t>
            </w:r>
            <w:proofErr w:type="gramEnd"/>
            <w:r>
              <w:t xml:space="preserve"> The PG unit has corridors that allow residents to pass each other safely.  There is sufficient space to allow the safe use of mobility equipment.  Safety rails are appropriately located around the hallways and in the bathrooms.  Access to the outside is appropriate for mobility equipment.  There is a secure outdoor garden area with walkways.  Outside area has seating and shade is provided.  Pathways, seating and grounds are well maintained.  The current outdoor garden area is separate from the other areas.</w:t>
            </w:r>
            <w:r>
              <w:br/>
              <w:t>ARHSS D15.3e</w:t>
            </w:r>
            <w:proofErr w:type="gramStart"/>
            <w:r>
              <w:t>,f,g</w:t>
            </w:r>
            <w:proofErr w:type="gramEnd"/>
            <w:r>
              <w:t>:  The following equipment has been ordered (but not limited to); hospital beds, suction, hoist-sling, oxygen concentrator, pressure area equipment, lazy-buy chairs on wheels, bedrail covers, topper pads, lifting belts.</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t xml:space="preserve">The service has an equipment preventative maintenance programme in place to ensure that buildings, plant, and equipment are maintained appropriately.  There is a current building warrant of fitness displayed in the foyer that expires on the 1st July 2014.  The planned PG unit is in the process of being renovated.  Shared </w:t>
            </w:r>
            <w:proofErr w:type="spellStart"/>
            <w:r>
              <w:t>ensuites</w:t>
            </w:r>
            <w:proofErr w:type="spellEnd"/>
            <w:r>
              <w:t xml:space="preserve"> between rooms have been removed to make for larger resident rooms.  </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t xml:space="preserve">The planned PG unit is in the process of being renovated, including resident rooms and bathrooms.  </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Complete all building renovations prior to occupancy</w:t>
            </w: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D97D99" w:rsidRDefault="00D97D99" w:rsidP="009865D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D97D99" w:rsidRDefault="00D97D99" w:rsidP="009865D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The PG unit (11 resident rooms) has one mobility bathroom (shower/toilet) another mobility toilet and one smaller toilet room.  The bathroom is large enough for two staff and mobility equipment.  The bathrooms are still in the process of being renovated (link 1.4.2.1)</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lastRenderedPageBreak/>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D97D99" w:rsidRDefault="00D97D99" w:rsidP="009865D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D97D99" w:rsidRDefault="00D97D99" w:rsidP="009865D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Residents rooms are of sufficient space to allow care to be provided and for the safe use and manoeuvring of mobility aids and staff.  Doors into resident rooms are wide enough to allow the movement of lazy boy chairs.</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D97D99" w:rsidRDefault="00D97D99" w:rsidP="009865D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D97D99" w:rsidRDefault="00D97D99" w:rsidP="009865D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sz w:val="20"/>
                <w:szCs w:val="20"/>
              </w:rPr>
              <w:t>There is a combined dining area and lounge area in the PG unit that can accommodate hospital residents and mobility aids.  There is also another small sitting area.</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lastRenderedPageBreak/>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D97D99" w:rsidRDefault="00D97D99" w:rsidP="009865D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D97D99" w:rsidRDefault="00D97D99" w:rsidP="009865D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sz w:val="20"/>
                <w:szCs w:val="20"/>
              </w:rPr>
              <w:t>The service has in place policies and procedures for effective management of cleaning and linen practices.  The laundry is located off the hospital unit with dirty/clean entrance/exit and effective separation of dirty laundry.  Soiled laundry is sorted into different coloured bags or buckets to identify type of treatment required.  Storage of Soiled Linen policy includes transportation of linen around the facility.  Laundry and cleaning audits are completed on a regular basis (cleaning Sept 2013 – 100% and Laundry Jan 2014 – 95%).  The service has a secure area for storage of cleaning chemicals in the locked laundry.  Chemicals are labelled.  Material Safety data sheets are available and displayed in the chemical storage area.  There is a locked sluice available off the PG unit.</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D97D99" w:rsidRDefault="00D97D99" w:rsidP="009865D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D97D99" w:rsidRDefault="00D97D99" w:rsidP="009865D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rPr>
            </w:pPr>
            <w:r>
              <w:t xml:space="preserve">The service provides staff training to implement its policies and procedures for civil defence, equipment and other emergencies.  Fire safety and evacuation training is provided to staff during their orientation phase and annually (last Feb 2014).  </w:t>
            </w:r>
            <w:proofErr w:type="gramStart"/>
            <w:r>
              <w:t>Staff also complete</w:t>
            </w:r>
            <w:proofErr w:type="gramEnd"/>
            <w:r>
              <w:t xml:space="preserve"> competencies.  The following training was provided in 2013; fire warden training, fire drills, and first aid.  There is an approved evacuation scheme, there </w:t>
            </w:r>
            <w:proofErr w:type="gramStart"/>
            <w:r>
              <w:t>is no changes</w:t>
            </w:r>
            <w:proofErr w:type="gramEnd"/>
            <w:r>
              <w:t xml:space="preserve"> required to the current evacuation plan and secure doors remain the same.  </w:t>
            </w:r>
            <w:r>
              <w:br/>
              <w:t xml:space="preserve"> </w:t>
            </w:r>
            <w:r>
              <w:br/>
              <w:t>D19.6: There are emergency management plans in place to ensure health, civil defence and other emergencies are included.  Civil defence kit and water supply is in place and meets requirements.  There is someone on duty 24/7 with a current first aid certificate.</w:t>
            </w:r>
            <w:r>
              <w:br/>
            </w:r>
            <w:r>
              <w:br/>
              <w:t>Resident rooms, toilets/showers and the lounge/dining areas have call bells.  Senior Staff in each unit also carry phones to ring internally for support in an emergency.</w:t>
            </w:r>
            <w:r>
              <w:br/>
              <w:t xml:space="preserve">The service policies and procedures require that contractors are appropriately identified and a Contactor’s folder is well established.  Security policy is in place and a daily security check is documented.  </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EF6655">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D97D99" w:rsidRDefault="00D97D99" w:rsidP="009865D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D97D99" w:rsidRDefault="00D97D99" w:rsidP="009865D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sz w:val="20"/>
                <w:szCs w:val="20"/>
              </w:rPr>
              <w:t>General living areas and resident rooms are appropriately heated and ventilated.  There are scope heaters in the resident rooms and heat pump in lounge/dining room.  Residents have access to natural light in their rooms via at least one external window and there is adequate external light in communal area.</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lastRenderedPageBreak/>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97D99" w:rsidRDefault="00D97D99" w:rsidP="009865D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pStyle w:val="OutcomeDescription"/>
        <w:rPr>
          <w:lang w:eastAsia="en-NZ"/>
        </w:rPr>
      </w:pPr>
    </w:p>
    <w:p w:rsidR="00D97D99" w:rsidRDefault="00D97D99" w:rsidP="009865DD">
      <w:pPr>
        <w:pStyle w:val="Heading1"/>
      </w:pPr>
      <w:r>
        <w:t>NZS 8134.3:2008: Health and Disability Services (Infection Prevention and Control) Standards</w:t>
      </w:r>
    </w:p>
    <w:p w:rsidR="00D97D99" w:rsidRPr="00EF6655" w:rsidRDefault="00D97D99" w:rsidP="00EF6655">
      <w:pPr>
        <w:pStyle w:val="Heading4"/>
        <w:rPr>
          <w:rStyle w:val="Heading4Char"/>
          <w:b/>
          <w:iCs/>
          <w:color w:val="17365D" w:themeColor="text2" w:themeShade="BF"/>
        </w:rPr>
      </w:pPr>
      <w:r w:rsidRPr="00EF6655">
        <w:rPr>
          <w:color w:val="17365D" w:themeColor="text2" w:themeShade="BF"/>
        </w:rPr>
        <w:lastRenderedPageBreak/>
        <w:t>Standard 3.1: Infection control management</w:t>
      </w:r>
      <w:r w:rsidRPr="00EF6655">
        <w:rPr>
          <w:rStyle w:val="Heading4Char"/>
          <w:b/>
          <w:iCs/>
          <w:color w:val="17365D" w:themeColor="text2" w:themeShade="BF"/>
        </w:rPr>
        <w:t xml:space="preserve"> (</w:t>
      </w:r>
      <w:proofErr w:type="gramStart"/>
      <w:r w:rsidRPr="00EF6655">
        <w:rPr>
          <w:color w:val="17365D" w:themeColor="text2" w:themeShade="BF"/>
        </w:rPr>
        <w:t>HDS(</w:t>
      </w:r>
      <w:proofErr w:type="gramEnd"/>
      <w:r w:rsidRPr="00EF6655">
        <w:rPr>
          <w:color w:val="17365D" w:themeColor="text2" w:themeShade="BF"/>
        </w:rPr>
        <w:t>IPC)S.2008:3.1)</w:t>
      </w:r>
    </w:p>
    <w:p w:rsidR="00D97D99" w:rsidRDefault="00D97D99" w:rsidP="009865D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D97D99" w:rsidRDefault="00D97D99" w:rsidP="009865D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sz w:val="20"/>
                <w:szCs w:val="20"/>
              </w:rPr>
            </w:pPr>
            <w:r>
              <w:rPr>
                <w:rFonts w:cs="Arial"/>
              </w:rPr>
              <w:t xml:space="preserve">The Infection Control (IC) programme and its content and detail, is appropriate for the size, complexity, and degree of risk associated with the service.  The infection programme is reviewed </w:t>
            </w:r>
            <w:proofErr w:type="gramStart"/>
            <w:r>
              <w:rPr>
                <w:rFonts w:cs="Arial"/>
              </w:rPr>
              <w:t>annually,</w:t>
            </w:r>
            <w:proofErr w:type="gramEnd"/>
            <w:r>
              <w:rPr>
                <w:rFonts w:cs="Arial"/>
              </w:rPr>
              <w:t xml:space="preserve"> this was completed with ICNs across the organisations.</w:t>
            </w:r>
            <w:r>
              <w:rPr>
                <w:rFonts w:cs="Arial"/>
              </w:rPr>
              <w:br/>
              <w:t>The IC programme plan and IC programme description are available.  There is a job description for the IC nurse and clearly defined guidelines and responsibilities for the infection control committee at service and organisational level.</w:t>
            </w:r>
            <w:r>
              <w:rPr>
                <w:rFonts w:cs="Arial"/>
              </w:rPr>
              <w:br/>
              <w:t>There is an established and implemented infection control programme that is linked into the objectives of the quality and risk management plan for 2013-2014.  The quality committee includes a cross section of staff from all areas of the service.  The IC meeting at Avonlea meets monthly and at an organisational level six monthly.  The facility has access to professional advice within the organisation, from GP's and from an IC consultant.</w:t>
            </w:r>
            <w:r>
              <w:rPr>
                <w:rFonts w:cs="Arial"/>
              </w:rPr>
              <w:br/>
              <w:t xml:space="preserve">The facility has adequate signage at the entrance asking visitors not to enter if they have contracted or been in contact with infectious diseases.  Hand hygiene notices are in use around the facility. There is a staff health policy and staff infection and work restriction guidelines, there has been no identified outbreaks since previous audit.  </w:t>
            </w:r>
          </w:p>
        </w:tc>
      </w:tr>
    </w:tbl>
    <w:p w:rsidR="00D97D99" w:rsidRDefault="00D97D99" w:rsidP="009865DD">
      <w:pPr>
        <w:ind w:left="0"/>
        <w:rPr>
          <w:rFonts w:cstheme="minorBidi"/>
          <w:sz w:val="24"/>
          <w:szCs w:val="24"/>
          <w:lang w:eastAsia="en-NZ"/>
        </w:rPr>
      </w:pPr>
    </w:p>
    <w:p w:rsidR="00D97D99" w:rsidRDefault="00D97D99" w:rsidP="009865D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97D99" w:rsidRDefault="00D97D99" w:rsidP="009865D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ind w:left="0"/>
        <w:rPr>
          <w:rFonts w:cstheme="minorBidi"/>
          <w:sz w:val="24"/>
          <w:szCs w:val="24"/>
          <w:lang w:eastAsia="en-NZ"/>
        </w:rPr>
      </w:pPr>
    </w:p>
    <w:p w:rsidR="00D97D99" w:rsidRDefault="00D97D99" w:rsidP="009865D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97D99" w:rsidRDefault="00D97D99" w:rsidP="009865D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ind w:left="0"/>
        <w:rPr>
          <w:rFonts w:cstheme="minorBidi"/>
          <w:sz w:val="24"/>
          <w:szCs w:val="24"/>
          <w:lang w:eastAsia="en-NZ"/>
        </w:rPr>
      </w:pPr>
    </w:p>
    <w:p w:rsidR="00D97D99" w:rsidRDefault="00D97D99" w:rsidP="009865D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97D99" w:rsidRDefault="00D97D99" w:rsidP="009865D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97D99" w:rsidRDefault="00D97D99" w:rsidP="009865DD">
      <w:pPr>
        <w:ind w:left="0"/>
        <w:rPr>
          <w:rFonts w:cstheme="minorBidi"/>
          <w:sz w:val="24"/>
          <w:szCs w:val="24"/>
          <w:lang w:eastAsia="en-NZ"/>
        </w:rPr>
      </w:pPr>
    </w:p>
    <w:p w:rsidR="00D97D99" w:rsidRDefault="00D97D99" w:rsidP="009865D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97D99" w:rsidRDefault="00D97D99" w:rsidP="009865D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D97D99" w:rsidTr="00D97D99">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Evidence:</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Finding:</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nil"/>
              <w:right w:val="single" w:sz="4" w:space="0" w:color="auto"/>
            </w:tcBorders>
            <w:vAlign w:val="center"/>
            <w:hideMark/>
          </w:tcPr>
          <w:p w:rsidR="00D97D99" w:rsidRDefault="00D97D99" w:rsidP="009865DD">
            <w:pPr>
              <w:keepNext/>
              <w:spacing w:before="60"/>
              <w:ind w:left="0"/>
              <w:rPr>
                <w:rFonts w:cs="Arial"/>
                <w:b/>
                <w:sz w:val="20"/>
                <w:szCs w:val="20"/>
              </w:rPr>
            </w:pPr>
            <w:r>
              <w:rPr>
                <w:rFonts w:cs="Arial"/>
                <w:b/>
                <w:sz w:val="20"/>
                <w:szCs w:val="20"/>
              </w:rPr>
              <w:t>Corrective Action:</w:t>
            </w:r>
          </w:p>
        </w:tc>
      </w:tr>
      <w:tr w:rsidR="00D97D99" w:rsidTr="00D97D99">
        <w:trPr>
          <w:trHeight w:val="112"/>
        </w:trPr>
        <w:tc>
          <w:tcPr>
            <w:tcW w:w="15276" w:type="dxa"/>
            <w:tcBorders>
              <w:top w:val="nil"/>
              <w:left w:val="single" w:sz="4" w:space="0" w:color="auto"/>
              <w:bottom w:val="single" w:sz="4" w:space="0" w:color="auto"/>
              <w:right w:val="single" w:sz="4" w:space="0" w:color="auto"/>
            </w:tcBorders>
            <w:vAlign w:val="center"/>
          </w:tcPr>
          <w:p w:rsidR="00D97D99" w:rsidRDefault="00D97D99" w:rsidP="009865DD">
            <w:pPr>
              <w:spacing w:before="60"/>
              <w:ind w:left="0"/>
              <w:rPr>
                <w:rFonts w:cs="Arial"/>
                <w:sz w:val="20"/>
                <w:szCs w:val="20"/>
              </w:rPr>
            </w:pPr>
          </w:p>
        </w:tc>
      </w:tr>
      <w:tr w:rsidR="00D97D99" w:rsidTr="00D97D9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97D99" w:rsidRDefault="00D97D99" w:rsidP="009865D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865DD" w:rsidRPr="005A5CEB" w:rsidRDefault="009865DD" w:rsidP="009865DD">
      <w:pPr>
        <w:spacing w:before="240" w:after="0" w:line="276" w:lineRule="auto"/>
        <w:ind w:left="0"/>
        <w:rPr>
          <w:sz w:val="24"/>
        </w:rPr>
      </w:pPr>
    </w:p>
    <w:sectPr w:rsidR="009865DD" w:rsidRPr="005A5CEB" w:rsidSect="00D97D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DD" w:rsidRDefault="009865DD">
      <w:pPr>
        <w:spacing w:after="0"/>
      </w:pPr>
      <w:r>
        <w:separator/>
      </w:r>
    </w:p>
  </w:endnote>
  <w:endnote w:type="continuationSeparator" w:id="0">
    <w:p w:rsidR="009865DD" w:rsidRDefault="00986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DD" w:rsidRDefault="009865DD">
      <w:pPr>
        <w:spacing w:after="0"/>
      </w:pPr>
      <w:r>
        <w:separator/>
      </w:r>
    </w:p>
  </w:footnote>
  <w:footnote w:type="continuationSeparator" w:id="0">
    <w:p w:rsidR="009865DD" w:rsidRDefault="009865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3B4A2CC">
      <w:numFmt w:val="bullet"/>
      <w:lvlText w:val="-"/>
      <w:lvlJc w:val="left"/>
      <w:pPr>
        <w:tabs>
          <w:tab w:val="num" w:pos="717"/>
        </w:tabs>
        <w:ind w:left="717" w:hanging="360"/>
      </w:pPr>
      <w:rPr>
        <w:rFonts w:ascii="Calibri" w:eastAsia="Calibri" w:hAnsi="Calibri" w:cs="Times New Roman" w:hint="default"/>
      </w:rPr>
    </w:lvl>
    <w:lvl w:ilvl="1" w:tplc="F662A47A" w:tentative="1">
      <w:start w:val="1"/>
      <w:numFmt w:val="bullet"/>
      <w:lvlText w:val="o"/>
      <w:lvlJc w:val="left"/>
      <w:pPr>
        <w:tabs>
          <w:tab w:val="num" w:pos="1437"/>
        </w:tabs>
        <w:ind w:left="1437" w:hanging="360"/>
      </w:pPr>
      <w:rPr>
        <w:rFonts w:ascii="Courier New" w:hAnsi="Courier New" w:cs="Courier New" w:hint="default"/>
      </w:rPr>
    </w:lvl>
    <w:lvl w:ilvl="2" w:tplc="4726EE34" w:tentative="1">
      <w:start w:val="1"/>
      <w:numFmt w:val="bullet"/>
      <w:lvlText w:val=""/>
      <w:lvlJc w:val="left"/>
      <w:pPr>
        <w:tabs>
          <w:tab w:val="num" w:pos="2157"/>
        </w:tabs>
        <w:ind w:left="2157" w:hanging="360"/>
      </w:pPr>
      <w:rPr>
        <w:rFonts w:ascii="Wingdings" w:hAnsi="Wingdings" w:hint="default"/>
      </w:rPr>
    </w:lvl>
    <w:lvl w:ilvl="3" w:tplc="D9AE8E92" w:tentative="1">
      <w:start w:val="1"/>
      <w:numFmt w:val="bullet"/>
      <w:lvlText w:val=""/>
      <w:lvlJc w:val="left"/>
      <w:pPr>
        <w:tabs>
          <w:tab w:val="num" w:pos="2877"/>
        </w:tabs>
        <w:ind w:left="2877" w:hanging="360"/>
      </w:pPr>
      <w:rPr>
        <w:rFonts w:ascii="Symbol" w:hAnsi="Symbol" w:hint="default"/>
      </w:rPr>
    </w:lvl>
    <w:lvl w:ilvl="4" w:tplc="EBA82C02" w:tentative="1">
      <w:start w:val="1"/>
      <w:numFmt w:val="bullet"/>
      <w:lvlText w:val="o"/>
      <w:lvlJc w:val="left"/>
      <w:pPr>
        <w:tabs>
          <w:tab w:val="num" w:pos="3597"/>
        </w:tabs>
        <w:ind w:left="3597" w:hanging="360"/>
      </w:pPr>
      <w:rPr>
        <w:rFonts w:ascii="Courier New" w:hAnsi="Courier New" w:cs="Courier New" w:hint="default"/>
      </w:rPr>
    </w:lvl>
    <w:lvl w:ilvl="5" w:tplc="971CB69E" w:tentative="1">
      <w:start w:val="1"/>
      <w:numFmt w:val="bullet"/>
      <w:lvlText w:val=""/>
      <w:lvlJc w:val="left"/>
      <w:pPr>
        <w:tabs>
          <w:tab w:val="num" w:pos="4317"/>
        </w:tabs>
        <w:ind w:left="4317" w:hanging="360"/>
      </w:pPr>
      <w:rPr>
        <w:rFonts w:ascii="Wingdings" w:hAnsi="Wingdings" w:hint="default"/>
      </w:rPr>
    </w:lvl>
    <w:lvl w:ilvl="6" w:tplc="7E2254D6" w:tentative="1">
      <w:start w:val="1"/>
      <w:numFmt w:val="bullet"/>
      <w:lvlText w:val=""/>
      <w:lvlJc w:val="left"/>
      <w:pPr>
        <w:tabs>
          <w:tab w:val="num" w:pos="5037"/>
        </w:tabs>
        <w:ind w:left="5037" w:hanging="360"/>
      </w:pPr>
      <w:rPr>
        <w:rFonts w:ascii="Symbol" w:hAnsi="Symbol" w:hint="default"/>
      </w:rPr>
    </w:lvl>
    <w:lvl w:ilvl="7" w:tplc="2118D6C2" w:tentative="1">
      <w:start w:val="1"/>
      <w:numFmt w:val="bullet"/>
      <w:lvlText w:val="o"/>
      <w:lvlJc w:val="left"/>
      <w:pPr>
        <w:tabs>
          <w:tab w:val="num" w:pos="5757"/>
        </w:tabs>
        <w:ind w:left="5757" w:hanging="360"/>
      </w:pPr>
      <w:rPr>
        <w:rFonts w:ascii="Courier New" w:hAnsi="Courier New" w:cs="Courier New" w:hint="default"/>
      </w:rPr>
    </w:lvl>
    <w:lvl w:ilvl="8" w:tplc="911C737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B88BB1E">
      <w:start w:val="1"/>
      <w:numFmt w:val="bullet"/>
      <w:lvlText w:val=""/>
      <w:lvlJc w:val="left"/>
      <w:pPr>
        <w:ind w:left="360" w:hanging="360"/>
      </w:pPr>
      <w:rPr>
        <w:rFonts w:ascii="Symbol" w:hAnsi="Symbol" w:hint="default"/>
      </w:rPr>
    </w:lvl>
    <w:lvl w:ilvl="1" w:tplc="F648C398" w:tentative="1">
      <w:start w:val="1"/>
      <w:numFmt w:val="bullet"/>
      <w:lvlText w:val="o"/>
      <w:lvlJc w:val="left"/>
      <w:pPr>
        <w:ind w:left="1080" w:hanging="360"/>
      </w:pPr>
      <w:rPr>
        <w:rFonts w:ascii="Courier New" w:hAnsi="Courier New" w:cs="Courier New" w:hint="default"/>
      </w:rPr>
    </w:lvl>
    <w:lvl w:ilvl="2" w:tplc="22FEE9DE" w:tentative="1">
      <w:start w:val="1"/>
      <w:numFmt w:val="bullet"/>
      <w:lvlText w:val=""/>
      <w:lvlJc w:val="left"/>
      <w:pPr>
        <w:ind w:left="1800" w:hanging="360"/>
      </w:pPr>
      <w:rPr>
        <w:rFonts w:ascii="Wingdings" w:hAnsi="Wingdings" w:hint="default"/>
      </w:rPr>
    </w:lvl>
    <w:lvl w:ilvl="3" w:tplc="A12482C0" w:tentative="1">
      <w:start w:val="1"/>
      <w:numFmt w:val="bullet"/>
      <w:lvlText w:val=""/>
      <w:lvlJc w:val="left"/>
      <w:pPr>
        <w:ind w:left="2520" w:hanging="360"/>
      </w:pPr>
      <w:rPr>
        <w:rFonts w:ascii="Symbol" w:hAnsi="Symbol" w:hint="default"/>
      </w:rPr>
    </w:lvl>
    <w:lvl w:ilvl="4" w:tplc="5E9C1486" w:tentative="1">
      <w:start w:val="1"/>
      <w:numFmt w:val="bullet"/>
      <w:lvlText w:val="o"/>
      <w:lvlJc w:val="left"/>
      <w:pPr>
        <w:ind w:left="3240" w:hanging="360"/>
      </w:pPr>
      <w:rPr>
        <w:rFonts w:ascii="Courier New" w:hAnsi="Courier New" w:cs="Courier New" w:hint="default"/>
      </w:rPr>
    </w:lvl>
    <w:lvl w:ilvl="5" w:tplc="B4DA8892" w:tentative="1">
      <w:start w:val="1"/>
      <w:numFmt w:val="bullet"/>
      <w:lvlText w:val=""/>
      <w:lvlJc w:val="left"/>
      <w:pPr>
        <w:ind w:left="3960" w:hanging="360"/>
      </w:pPr>
      <w:rPr>
        <w:rFonts w:ascii="Wingdings" w:hAnsi="Wingdings" w:hint="default"/>
      </w:rPr>
    </w:lvl>
    <w:lvl w:ilvl="6" w:tplc="EE503480" w:tentative="1">
      <w:start w:val="1"/>
      <w:numFmt w:val="bullet"/>
      <w:lvlText w:val=""/>
      <w:lvlJc w:val="left"/>
      <w:pPr>
        <w:ind w:left="4680" w:hanging="360"/>
      </w:pPr>
      <w:rPr>
        <w:rFonts w:ascii="Symbol" w:hAnsi="Symbol" w:hint="default"/>
      </w:rPr>
    </w:lvl>
    <w:lvl w:ilvl="7" w:tplc="6A5CB950" w:tentative="1">
      <w:start w:val="1"/>
      <w:numFmt w:val="bullet"/>
      <w:lvlText w:val="o"/>
      <w:lvlJc w:val="left"/>
      <w:pPr>
        <w:ind w:left="5400" w:hanging="360"/>
      </w:pPr>
      <w:rPr>
        <w:rFonts w:ascii="Courier New" w:hAnsi="Courier New" w:cs="Courier New" w:hint="default"/>
      </w:rPr>
    </w:lvl>
    <w:lvl w:ilvl="8" w:tplc="A7FE3BB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EC65CCA">
      <w:start w:val="1"/>
      <w:numFmt w:val="bullet"/>
      <w:lvlText w:val=""/>
      <w:lvlJc w:val="left"/>
      <w:pPr>
        <w:ind w:left="1077" w:hanging="360"/>
      </w:pPr>
      <w:rPr>
        <w:rFonts w:ascii="Symbol" w:hAnsi="Symbol" w:hint="default"/>
      </w:rPr>
    </w:lvl>
    <w:lvl w:ilvl="1" w:tplc="1E6C6C3A" w:tentative="1">
      <w:start w:val="1"/>
      <w:numFmt w:val="bullet"/>
      <w:lvlText w:val="o"/>
      <w:lvlJc w:val="left"/>
      <w:pPr>
        <w:ind w:left="1797" w:hanging="360"/>
      </w:pPr>
      <w:rPr>
        <w:rFonts w:ascii="Courier New" w:hAnsi="Courier New" w:cs="Courier New" w:hint="default"/>
      </w:rPr>
    </w:lvl>
    <w:lvl w:ilvl="2" w:tplc="7D386504" w:tentative="1">
      <w:start w:val="1"/>
      <w:numFmt w:val="bullet"/>
      <w:lvlText w:val=""/>
      <w:lvlJc w:val="left"/>
      <w:pPr>
        <w:ind w:left="2517" w:hanging="360"/>
      </w:pPr>
      <w:rPr>
        <w:rFonts w:ascii="Wingdings" w:hAnsi="Wingdings" w:hint="default"/>
      </w:rPr>
    </w:lvl>
    <w:lvl w:ilvl="3" w:tplc="C172BACA" w:tentative="1">
      <w:start w:val="1"/>
      <w:numFmt w:val="bullet"/>
      <w:lvlText w:val=""/>
      <w:lvlJc w:val="left"/>
      <w:pPr>
        <w:ind w:left="3237" w:hanging="360"/>
      </w:pPr>
      <w:rPr>
        <w:rFonts w:ascii="Symbol" w:hAnsi="Symbol" w:hint="default"/>
      </w:rPr>
    </w:lvl>
    <w:lvl w:ilvl="4" w:tplc="8BACC3E2" w:tentative="1">
      <w:start w:val="1"/>
      <w:numFmt w:val="bullet"/>
      <w:lvlText w:val="o"/>
      <w:lvlJc w:val="left"/>
      <w:pPr>
        <w:ind w:left="3957" w:hanging="360"/>
      </w:pPr>
      <w:rPr>
        <w:rFonts w:ascii="Courier New" w:hAnsi="Courier New" w:cs="Courier New" w:hint="default"/>
      </w:rPr>
    </w:lvl>
    <w:lvl w:ilvl="5" w:tplc="5B36B1AC" w:tentative="1">
      <w:start w:val="1"/>
      <w:numFmt w:val="bullet"/>
      <w:lvlText w:val=""/>
      <w:lvlJc w:val="left"/>
      <w:pPr>
        <w:ind w:left="4677" w:hanging="360"/>
      </w:pPr>
      <w:rPr>
        <w:rFonts w:ascii="Wingdings" w:hAnsi="Wingdings" w:hint="default"/>
      </w:rPr>
    </w:lvl>
    <w:lvl w:ilvl="6" w:tplc="C4DA87BE" w:tentative="1">
      <w:start w:val="1"/>
      <w:numFmt w:val="bullet"/>
      <w:lvlText w:val=""/>
      <w:lvlJc w:val="left"/>
      <w:pPr>
        <w:ind w:left="5397" w:hanging="360"/>
      </w:pPr>
      <w:rPr>
        <w:rFonts w:ascii="Symbol" w:hAnsi="Symbol" w:hint="default"/>
      </w:rPr>
    </w:lvl>
    <w:lvl w:ilvl="7" w:tplc="E31A029A" w:tentative="1">
      <w:start w:val="1"/>
      <w:numFmt w:val="bullet"/>
      <w:lvlText w:val="o"/>
      <w:lvlJc w:val="left"/>
      <w:pPr>
        <w:ind w:left="6117" w:hanging="360"/>
      </w:pPr>
      <w:rPr>
        <w:rFonts w:ascii="Courier New" w:hAnsi="Courier New" w:cs="Courier New" w:hint="default"/>
      </w:rPr>
    </w:lvl>
    <w:lvl w:ilvl="8" w:tplc="16F8A0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4362B84">
      <w:start w:val="1"/>
      <w:numFmt w:val="bullet"/>
      <w:lvlText w:val=""/>
      <w:lvlJc w:val="left"/>
      <w:pPr>
        <w:ind w:left="1077" w:hanging="360"/>
      </w:pPr>
      <w:rPr>
        <w:rFonts w:ascii="Symbol" w:hAnsi="Symbol" w:hint="default"/>
      </w:rPr>
    </w:lvl>
    <w:lvl w:ilvl="1" w:tplc="C55A969C" w:tentative="1">
      <w:start w:val="1"/>
      <w:numFmt w:val="bullet"/>
      <w:lvlText w:val="o"/>
      <w:lvlJc w:val="left"/>
      <w:pPr>
        <w:ind w:left="1797" w:hanging="360"/>
      </w:pPr>
      <w:rPr>
        <w:rFonts w:ascii="Courier New" w:hAnsi="Courier New" w:cs="Courier New" w:hint="default"/>
      </w:rPr>
    </w:lvl>
    <w:lvl w:ilvl="2" w:tplc="79BC8A82" w:tentative="1">
      <w:start w:val="1"/>
      <w:numFmt w:val="bullet"/>
      <w:lvlText w:val=""/>
      <w:lvlJc w:val="left"/>
      <w:pPr>
        <w:ind w:left="2517" w:hanging="360"/>
      </w:pPr>
      <w:rPr>
        <w:rFonts w:ascii="Wingdings" w:hAnsi="Wingdings" w:hint="default"/>
      </w:rPr>
    </w:lvl>
    <w:lvl w:ilvl="3" w:tplc="40B23B06" w:tentative="1">
      <w:start w:val="1"/>
      <w:numFmt w:val="bullet"/>
      <w:lvlText w:val=""/>
      <w:lvlJc w:val="left"/>
      <w:pPr>
        <w:ind w:left="3237" w:hanging="360"/>
      </w:pPr>
      <w:rPr>
        <w:rFonts w:ascii="Symbol" w:hAnsi="Symbol" w:hint="default"/>
      </w:rPr>
    </w:lvl>
    <w:lvl w:ilvl="4" w:tplc="B9F8194E" w:tentative="1">
      <w:start w:val="1"/>
      <w:numFmt w:val="bullet"/>
      <w:lvlText w:val="o"/>
      <w:lvlJc w:val="left"/>
      <w:pPr>
        <w:ind w:left="3957" w:hanging="360"/>
      </w:pPr>
      <w:rPr>
        <w:rFonts w:ascii="Courier New" w:hAnsi="Courier New" w:cs="Courier New" w:hint="default"/>
      </w:rPr>
    </w:lvl>
    <w:lvl w:ilvl="5" w:tplc="28EC72D0" w:tentative="1">
      <w:start w:val="1"/>
      <w:numFmt w:val="bullet"/>
      <w:lvlText w:val=""/>
      <w:lvlJc w:val="left"/>
      <w:pPr>
        <w:ind w:left="4677" w:hanging="360"/>
      </w:pPr>
      <w:rPr>
        <w:rFonts w:ascii="Wingdings" w:hAnsi="Wingdings" w:hint="default"/>
      </w:rPr>
    </w:lvl>
    <w:lvl w:ilvl="6" w:tplc="24C4F44A" w:tentative="1">
      <w:start w:val="1"/>
      <w:numFmt w:val="bullet"/>
      <w:lvlText w:val=""/>
      <w:lvlJc w:val="left"/>
      <w:pPr>
        <w:ind w:left="5397" w:hanging="360"/>
      </w:pPr>
      <w:rPr>
        <w:rFonts w:ascii="Symbol" w:hAnsi="Symbol" w:hint="default"/>
      </w:rPr>
    </w:lvl>
    <w:lvl w:ilvl="7" w:tplc="868880A0" w:tentative="1">
      <w:start w:val="1"/>
      <w:numFmt w:val="bullet"/>
      <w:lvlText w:val="o"/>
      <w:lvlJc w:val="left"/>
      <w:pPr>
        <w:ind w:left="6117" w:hanging="360"/>
      </w:pPr>
      <w:rPr>
        <w:rFonts w:ascii="Courier New" w:hAnsi="Courier New" w:cs="Courier New" w:hint="default"/>
      </w:rPr>
    </w:lvl>
    <w:lvl w:ilvl="8" w:tplc="FF4EFAC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B2C5C22">
      <w:start w:val="1"/>
      <w:numFmt w:val="bullet"/>
      <w:lvlText w:val="–"/>
      <w:lvlJc w:val="left"/>
      <w:pPr>
        <w:tabs>
          <w:tab w:val="num" w:pos="720"/>
        </w:tabs>
        <w:ind w:left="720" w:hanging="360"/>
      </w:pPr>
      <w:rPr>
        <w:rFonts w:ascii="Times New Roman" w:hAnsi="Times New Roman" w:hint="default"/>
      </w:rPr>
    </w:lvl>
    <w:lvl w:ilvl="1" w:tplc="1B087020">
      <w:start w:val="1"/>
      <w:numFmt w:val="bullet"/>
      <w:lvlText w:val="–"/>
      <w:lvlJc w:val="left"/>
      <w:pPr>
        <w:tabs>
          <w:tab w:val="num" w:pos="1440"/>
        </w:tabs>
        <w:ind w:left="1440" w:hanging="360"/>
      </w:pPr>
      <w:rPr>
        <w:rFonts w:ascii="Times New Roman" w:hAnsi="Times New Roman" w:hint="default"/>
      </w:rPr>
    </w:lvl>
    <w:lvl w:ilvl="2" w:tplc="F2A65CB2" w:tentative="1">
      <w:start w:val="1"/>
      <w:numFmt w:val="bullet"/>
      <w:lvlText w:val="–"/>
      <w:lvlJc w:val="left"/>
      <w:pPr>
        <w:tabs>
          <w:tab w:val="num" w:pos="2160"/>
        </w:tabs>
        <w:ind w:left="2160" w:hanging="360"/>
      </w:pPr>
      <w:rPr>
        <w:rFonts w:ascii="Times New Roman" w:hAnsi="Times New Roman" w:hint="default"/>
      </w:rPr>
    </w:lvl>
    <w:lvl w:ilvl="3" w:tplc="7652B754" w:tentative="1">
      <w:start w:val="1"/>
      <w:numFmt w:val="bullet"/>
      <w:lvlText w:val="–"/>
      <w:lvlJc w:val="left"/>
      <w:pPr>
        <w:tabs>
          <w:tab w:val="num" w:pos="2880"/>
        </w:tabs>
        <w:ind w:left="2880" w:hanging="360"/>
      </w:pPr>
      <w:rPr>
        <w:rFonts w:ascii="Times New Roman" w:hAnsi="Times New Roman" w:hint="default"/>
      </w:rPr>
    </w:lvl>
    <w:lvl w:ilvl="4" w:tplc="B1FC9EEA" w:tentative="1">
      <w:start w:val="1"/>
      <w:numFmt w:val="bullet"/>
      <w:lvlText w:val="–"/>
      <w:lvlJc w:val="left"/>
      <w:pPr>
        <w:tabs>
          <w:tab w:val="num" w:pos="3600"/>
        </w:tabs>
        <w:ind w:left="3600" w:hanging="360"/>
      </w:pPr>
      <w:rPr>
        <w:rFonts w:ascii="Times New Roman" w:hAnsi="Times New Roman" w:hint="default"/>
      </w:rPr>
    </w:lvl>
    <w:lvl w:ilvl="5" w:tplc="1C6CC62A" w:tentative="1">
      <w:start w:val="1"/>
      <w:numFmt w:val="bullet"/>
      <w:lvlText w:val="–"/>
      <w:lvlJc w:val="left"/>
      <w:pPr>
        <w:tabs>
          <w:tab w:val="num" w:pos="4320"/>
        </w:tabs>
        <w:ind w:left="4320" w:hanging="360"/>
      </w:pPr>
      <w:rPr>
        <w:rFonts w:ascii="Times New Roman" w:hAnsi="Times New Roman" w:hint="default"/>
      </w:rPr>
    </w:lvl>
    <w:lvl w:ilvl="6" w:tplc="DE10BA22" w:tentative="1">
      <w:start w:val="1"/>
      <w:numFmt w:val="bullet"/>
      <w:lvlText w:val="–"/>
      <w:lvlJc w:val="left"/>
      <w:pPr>
        <w:tabs>
          <w:tab w:val="num" w:pos="5040"/>
        </w:tabs>
        <w:ind w:left="5040" w:hanging="360"/>
      </w:pPr>
      <w:rPr>
        <w:rFonts w:ascii="Times New Roman" w:hAnsi="Times New Roman" w:hint="default"/>
      </w:rPr>
    </w:lvl>
    <w:lvl w:ilvl="7" w:tplc="448C3AE6" w:tentative="1">
      <w:start w:val="1"/>
      <w:numFmt w:val="bullet"/>
      <w:lvlText w:val="–"/>
      <w:lvlJc w:val="left"/>
      <w:pPr>
        <w:tabs>
          <w:tab w:val="num" w:pos="5760"/>
        </w:tabs>
        <w:ind w:left="5760" w:hanging="360"/>
      </w:pPr>
      <w:rPr>
        <w:rFonts w:ascii="Times New Roman" w:hAnsi="Times New Roman" w:hint="default"/>
      </w:rPr>
    </w:lvl>
    <w:lvl w:ilvl="8" w:tplc="F77862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7B84428">
      <w:start w:val="1"/>
      <w:numFmt w:val="bullet"/>
      <w:lvlText w:val=""/>
      <w:lvlJc w:val="left"/>
      <w:pPr>
        <w:ind w:left="1080" w:hanging="360"/>
      </w:pPr>
      <w:rPr>
        <w:rFonts w:ascii="Symbol" w:hAnsi="Symbol" w:hint="default"/>
      </w:rPr>
    </w:lvl>
    <w:lvl w:ilvl="1" w:tplc="0A5E1F7A" w:tentative="1">
      <w:start w:val="1"/>
      <w:numFmt w:val="bullet"/>
      <w:lvlText w:val="o"/>
      <w:lvlJc w:val="left"/>
      <w:pPr>
        <w:ind w:left="1800" w:hanging="360"/>
      </w:pPr>
      <w:rPr>
        <w:rFonts w:ascii="Courier New" w:hAnsi="Courier New" w:cs="Courier New" w:hint="default"/>
      </w:rPr>
    </w:lvl>
    <w:lvl w:ilvl="2" w:tplc="070EFAC8" w:tentative="1">
      <w:start w:val="1"/>
      <w:numFmt w:val="bullet"/>
      <w:lvlText w:val=""/>
      <w:lvlJc w:val="left"/>
      <w:pPr>
        <w:ind w:left="2520" w:hanging="360"/>
      </w:pPr>
      <w:rPr>
        <w:rFonts w:ascii="Wingdings" w:hAnsi="Wingdings" w:hint="default"/>
      </w:rPr>
    </w:lvl>
    <w:lvl w:ilvl="3" w:tplc="53DEC950" w:tentative="1">
      <w:start w:val="1"/>
      <w:numFmt w:val="bullet"/>
      <w:lvlText w:val=""/>
      <w:lvlJc w:val="left"/>
      <w:pPr>
        <w:ind w:left="3240" w:hanging="360"/>
      </w:pPr>
      <w:rPr>
        <w:rFonts w:ascii="Symbol" w:hAnsi="Symbol" w:hint="default"/>
      </w:rPr>
    </w:lvl>
    <w:lvl w:ilvl="4" w:tplc="9E92D2F8" w:tentative="1">
      <w:start w:val="1"/>
      <w:numFmt w:val="bullet"/>
      <w:lvlText w:val="o"/>
      <w:lvlJc w:val="left"/>
      <w:pPr>
        <w:ind w:left="3960" w:hanging="360"/>
      </w:pPr>
      <w:rPr>
        <w:rFonts w:ascii="Courier New" w:hAnsi="Courier New" w:cs="Courier New" w:hint="default"/>
      </w:rPr>
    </w:lvl>
    <w:lvl w:ilvl="5" w:tplc="070E12E8" w:tentative="1">
      <w:start w:val="1"/>
      <w:numFmt w:val="bullet"/>
      <w:lvlText w:val=""/>
      <w:lvlJc w:val="left"/>
      <w:pPr>
        <w:ind w:left="4680" w:hanging="360"/>
      </w:pPr>
      <w:rPr>
        <w:rFonts w:ascii="Wingdings" w:hAnsi="Wingdings" w:hint="default"/>
      </w:rPr>
    </w:lvl>
    <w:lvl w:ilvl="6" w:tplc="C0563C2A" w:tentative="1">
      <w:start w:val="1"/>
      <w:numFmt w:val="bullet"/>
      <w:lvlText w:val=""/>
      <w:lvlJc w:val="left"/>
      <w:pPr>
        <w:ind w:left="5400" w:hanging="360"/>
      </w:pPr>
      <w:rPr>
        <w:rFonts w:ascii="Symbol" w:hAnsi="Symbol" w:hint="default"/>
      </w:rPr>
    </w:lvl>
    <w:lvl w:ilvl="7" w:tplc="71EE47BC" w:tentative="1">
      <w:start w:val="1"/>
      <w:numFmt w:val="bullet"/>
      <w:lvlText w:val="o"/>
      <w:lvlJc w:val="left"/>
      <w:pPr>
        <w:ind w:left="6120" w:hanging="360"/>
      </w:pPr>
      <w:rPr>
        <w:rFonts w:ascii="Courier New" w:hAnsi="Courier New" w:cs="Courier New" w:hint="default"/>
      </w:rPr>
    </w:lvl>
    <w:lvl w:ilvl="8" w:tplc="465A630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45AE0D4">
      <w:start w:val="1"/>
      <w:numFmt w:val="bullet"/>
      <w:lvlText w:val=""/>
      <w:lvlJc w:val="left"/>
      <w:pPr>
        <w:tabs>
          <w:tab w:val="num" w:pos="360"/>
        </w:tabs>
        <w:ind w:left="360" w:hanging="360"/>
      </w:pPr>
      <w:rPr>
        <w:rFonts w:ascii="Symbol" w:hAnsi="Symbol" w:hint="default"/>
      </w:rPr>
    </w:lvl>
    <w:lvl w:ilvl="1" w:tplc="B9603A12" w:tentative="1">
      <w:start w:val="1"/>
      <w:numFmt w:val="bullet"/>
      <w:lvlText w:val="o"/>
      <w:lvlJc w:val="left"/>
      <w:pPr>
        <w:tabs>
          <w:tab w:val="num" w:pos="1080"/>
        </w:tabs>
        <w:ind w:left="1080" w:hanging="360"/>
      </w:pPr>
      <w:rPr>
        <w:rFonts w:ascii="Courier New" w:hAnsi="Courier New" w:cs="Courier New" w:hint="default"/>
      </w:rPr>
    </w:lvl>
    <w:lvl w:ilvl="2" w:tplc="1180DC94" w:tentative="1">
      <w:start w:val="1"/>
      <w:numFmt w:val="bullet"/>
      <w:lvlText w:val=""/>
      <w:lvlJc w:val="left"/>
      <w:pPr>
        <w:tabs>
          <w:tab w:val="num" w:pos="1800"/>
        </w:tabs>
        <w:ind w:left="1800" w:hanging="360"/>
      </w:pPr>
      <w:rPr>
        <w:rFonts w:ascii="Wingdings" w:hAnsi="Wingdings" w:hint="default"/>
      </w:rPr>
    </w:lvl>
    <w:lvl w:ilvl="3" w:tplc="9F90D5C0" w:tentative="1">
      <w:start w:val="1"/>
      <w:numFmt w:val="bullet"/>
      <w:lvlText w:val=""/>
      <w:lvlJc w:val="left"/>
      <w:pPr>
        <w:tabs>
          <w:tab w:val="num" w:pos="2520"/>
        </w:tabs>
        <w:ind w:left="2520" w:hanging="360"/>
      </w:pPr>
      <w:rPr>
        <w:rFonts w:ascii="Symbol" w:hAnsi="Symbol" w:hint="default"/>
      </w:rPr>
    </w:lvl>
    <w:lvl w:ilvl="4" w:tplc="BB6E13B8" w:tentative="1">
      <w:start w:val="1"/>
      <w:numFmt w:val="bullet"/>
      <w:lvlText w:val="o"/>
      <w:lvlJc w:val="left"/>
      <w:pPr>
        <w:tabs>
          <w:tab w:val="num" w:pos="3240"/>
        </w:tabs>
        <w:ind w:left="3240" w:hanging="360"/>
      </w:pPr>
      <w:rPr>
        <w:rFonts w:ascii="Courier New" w:hAnsi="Courier New" w:cs="Courier New" w:hint="default"/>
      </w:rPr>
    </w:lvl>
    <w:lvl w:ilvl="5" w:tplc="EA3C89D8" w:tentative="1">
      <w:start w:val="1"/>
      <w:numFmt w:val="bullet"/>
      <w:lvlText w:val=""/>
      <w:lvlJc w:val="left"/>
      <w:pPr>
        <w:tabs>
          <w:tab w:val="num" w:pos="3960"/>
        </w:tabs>
        <w:ind w:left="3960" w:hanging="360"/>
      </w:pPr>
      <w:rPr>
        <w:rFonts w:ascii="Wingdings" w:hAnsi="Wingdings" w:hint="default"/>
      </w:rPr>
    </w:lvl>
    <w:lvl w:ilvl="6" w:tplc="B580706E" w:tentative="1">
      <w:start w:val="1"/>
      <w:numFmt w:val="bullet"/>
      <w:lvlText w:val=""/>
      <w:lvlJc w:val="left"/>
      <w:pPr>
        <w:tabs>
          <w:tab w:val="num" w:pos="4680"/>
        </w:tabs>
        <w:ind w:left="4680" w:hanging="360"/>
      </w:pPr>
      <w:rPr>
        <w:rFonts w:ascii="Symbol" w:hAnsi="Symbol" w:hint="default"/>
      </w:rPr>
    </w:lvl>
    <w:lvl w:ilvl="7" w:tplc="A68A7488" w:tentative="1">
      <w:start w:val="1"/>
      <w:numFmt w:val="bullet"/>
      <w:lvlText w:val="o"/>
      <w:lvlJc w:val="left"/>
      <w:pPr>
        <w:tabs>
          <w:tab w:val="num" w:pos="5400"/>
        </w:tabs>
        <w:ind w:left="5400" w:hanging="360"/>
      </w:pPr>
      <w:rPr>
        <w:rFonts w:ascii="Courier New" w:hAnsi="Courier New" w:cs="Courier New" w:hint="default"/>
      </w:rPr>
    </w:lvl>
    <w:lvl w:ilvl="8" w:tplc="1D20C3E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5AEB9CA">
      <w:start w:val="5"/>
      <w:numFmt w:val="bullet"/>
      <w:lvlText w:val="-"/>
      <w:lvlJc w:val="left"/>
      <w:pPr>
        <w:ind w:left="717" w:hanging="360"/>
      </w:pPr>
      <w:rPr>
        <w:rFonts w:ascii="Calibri" w:eastAsia="Calibri" w:hAnsi="Calibri" w:cs="Times New Roman" w:hint="default"/>
      </w:rPr>
    </w:lvl>
    <w:lvl w:ilvl="1" w:tplc="0CFA3796" w:tentative="1">
      <w:start w:val="1"/>
      <w:numFmt w:val="bullet"/>
      <w:lvlText w:val="o"/>
      <w:lvlJc w:val="left"/>
      <w:pPr>
        <w:ind w:left="1437" w:hanging="360"/>
      </w:pPr>
      <w:rPr>
        <w:rFonts w:ascii="Courier New" w:hAnsi="Courier New" w:cs="Courier New" w:hint="default"/>
      </w:rPr>
    </w:lvl>
    <w:lvl w:ilvl="2" w:tplc="DBE20F1A" w:tentative="1">
      <w:start w:val="1"/>
      <w:numFmt w:val="bullet"/>
      <w:lvlText w:val=""/>
      <w:lvlJc w:val="left"/>
      <w:pPr>
        <w:ind w:left="2157" w:hanging="360"/>
      </w:pPr>
      <w:rPr>
        <w:rFonts w:ascii="Wingdings" w:hAnsi="Wingdings" w:hint="default"/>
      </w:rPr>
    </w:lvl>
    <w:lvl w:ilvl="3" w:tplc="C2FAAA48" w:tentative="1">
      <w:start w:val="1"/>
      <w:numFmt w:val="bullet"/>
      <w:lvlText w:val=""/>
      <w:lvlJc w:val="left"/>
      <w:pPr>
        <w:ind w:left="2877" w:hanging="360"/>
      </w:pPr>
      <w:rPr>
        <w:rFonts w:ascii="Symbol" w:hAnsi="Symbol" w:hint="default"/>
      </w:rPr>
    </w:lvl>
    <w:lvl w:ilvl="4" w:tplc="0F3A6376" w:tentative="1">
      <w:start w:val="1"/>
      <w:numFmt w:val="bullet"/>
      <w:lvlText w:val="o"/>
      <w:lvlJc w:val="left"/>
      <w:pPr>
        <w:ind w:left="3597" w:hanging="360"/>
      </w:pPr>
      <w:rPr>
        <w:rFonts w:ascii="Courier New" w:hAnsi="Courier New" w:cs="Courier New" w:hint="default"/>
      </w:rPr>
    </w:lvl>
    <w:lvl w:ilvl="5" w:tplc="340AB09C" w:tentative="1">
      <w:start w:val="1"/>
      <w:numFmt w:val="bullet"/>
      <w:lvlText w:val=""/>
      <w:lvlJc w:val="left"/>
      <w:pPr>
        <w:ind w:left="4317" w:hanging="360"/>
      </w:pPr>
      <w:rPr>
        <w:rFonts w:ascii="Wingdings" w:hAnsi="Wingdings" w:hint="default"/>
      </w:rPr>
    </w:lvl>
    <w:lvl w:ilvl="6" w:tplc="CFE28AA0" w:tentative="1">
      <w:start w:val="1"/>
      <w:numFmt w:val="bullet"/>
      <w:lvlText w:val=""/>
      <w:lvlJc w:val="left"/>
      <w:pPr>
        <w:ind w:left="5037" w:hanging="360"/>
      </w:pPr>
      <w:rPr>
        <w:rFonts w:ascii="Symbol" w:hAnsi="Symbol" w:hint="default"/>
      </w:rPr>
    </w:lvl>
    <w:lvl w:ilvl="7" w:tplc="9D8ECFD8" w:tentative="1">
      <w:start w:val="1"/>
      <w:numFmt w:val="bullet"/>
      <w:lvlText w:val="o"/>
      <w:lvlJc w:val="left"/>
      <w:pPr>
        <w:ind w:left="5757" w:hanging="360"/>
      </w:pPr>
      <w:rPr>
        <w:rFonts w:ascii="Courier New" w:hAnsi="Courier New" w:cs="Courier New" w:hint="default"/>
      </w:rPr>
    </w:lvl>
    <w:lvl w:ilvl="8" w:tplc="3486809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33CBCC6">
      <w:start w:val="1"/>
      <w:numFmt w:val="bullet"/>
      <w:lvlText w:val=""/>
      <w:lvlJc w:val="left"/>
      <w:pPr>
        <w:tabs>
          <w:tab w:val="num" w:pos="360"/>
        </w:tabs>
        <w:ind w:left="360" w:hanging="360"/>
      </w:pPr>
      <w:rPr>
        <w:rFonts w:ascii="Symbol" w:hAnsi="Symbol" w:hint="default"/>
      </w:rPr>
    </w:lvl>
    <w:lvl w:ilvl="1" w:tplc="9ADC817A" w:tentative="1">
      <w:start w:val="1"/>
      <w:numFmt w:val="bullet"/>
      <w:lvlText w:val="o"/>
      <w:lvlJc w:val="left"/>
      <w:pPr>
        <w:tabs>
          <w:tab w:val="num" w:pos="1080"/>
        </w:tabs>
        <w:ind w:left="1080" w:hanging="360"/>
      </w:pPr>
      <w:rPr>
        <w:rFonts w:ascii="Courier New" w:hAnsi="Courier New" w:cs="Courier New" w:hint="default"/>
      </w:rPr>
    </w:lvl>
    <w:lvl w:ilvl="2" w:tplc="993C2B3A" w:tentative="1">
      <w:start w:val="1"/>
      <w:numFmt w:val="bullet"/>
      <w:lvlText w:val=""/>
      <w:lvlJc w:val="left"/>
      <w:pPr>
        <w:tabs>
          <w:tab w:val="num" w:pos="1800"/>
        </w:tabs>
        <w:ind w:left="1800" w:hanging="360"/>
      </w:pPr>
      <w:rPr>
        <w:rFonts w:ascii="Wingdings" w:hAnsi="Wingdings" w:hint="default"/>
      </w:rPr>
    </w:lvl>
    <w:lvl w:ilvl="3" w:tplc="B25AB27A" w:tentative="1">
      <w:start w:val="1"/>
      <w:numFmt w:val="bullet"/>
      <w:lvlText w:val=""/>
      <w:lvlJc w:val="left"/>
      <w:pPr>
        <w:tabs>
          <w:tab w:val="num" w:pos="2520"/>
        </w:tabs>
        <w:ind w:left="2520" w:hanging="360"/>
      </w:pPr>
      <w:rPr>
        <w:rFonts w:ascii="Symbol" w:hAnsi="Symbol" w:hint="default"/>
      </w:rPr>
    </w:lvl>
    <w:lvl w:ilvl="4" w:tplc="831675BC" w:tentative="1">
      <w:start w:val="1"/>
      <w:numFmt w:val="bullet"/>
      <w:lvlText w:val="o"/>
      <w:lvlJc w:val="left"/>
      <w:pPr>
        <w:tabs>
          <w:tab w:val="num" w:pos="3240"/>
        </w:tabs>
        <w:ind w:left="3240" w:hanging="360"/>
      </w:pPr>
      <w:rPr>
        <w:rFonts w:ascii="Courier New" w:hAnsi="Courier New" w:cs="Courier New" w:hint="default"/>
      </w:rPr>
    </w:lvl>
    <w:lvl w:ilvl="5" w:tplc="3808D2C4" w:tentative="1">
      <w:start w:val="1"/>
      <w:numFmt w:val="bullet"/>
      <w:lvlText w:val=""/>
      <w:lvlJc w:val="left"/>
      <w:pPr>
        <w:tabs>
          <w:tab w:val="num" w:pos="3960"/>
        </w:tabs>
        <w:ind w:left="3960" w:hanging="360"/>
      </w:pPr>
      <w:rPr>
        <w:rFonts w:ascii="Wingdings" w:hAnsi="Wingdings" w:hint="default"/>
      </w:rPr>
    </w:lvl>
    <w:lvl w:ilvl="6" w:tplc="2C7C059E" w:tentative="1">
      <w:start w:val="1"/>
      <w:numFmt w:val="bullet"/>
      <w:lvlText w:val=""/>
      <w:lvlJc w:val="left"/>
      <w:pPr>
        <w:tabs>
          <w:tab w:val="num" w:pos="4680"/>
        </w:tabs>
        <w:ind w:left="4680" w:hanging="360"/>
      </w:pPr>
      <w:rPr>
        <w:rFonts w:ascii="Symbol" w:hAnsi="Symbol" w:hint="default"/>
      </w:rPr>
    </w:lvl>
    <w:lvl w:ilvl="7" w:tplc="CF568BAC" w:tentative="1">
      <w:start w:val="1"/>
      <w:numFmt w:val="bullet"/>
      <w:lvlText w:val="o"/>
      <w:lvlJc w:val="left"/>
      <w:pPr>
        <w:tabs>
          <w:tab w:val="num" w:pos="5400"/>
        </w:tabs>
        <w:ind w:left="5400" w:hanging="360"/>
      </w:pPr>
      <w:rPr>
        <w:rFonts w:ascii="Courier New" w:hAnsi="Courier New" w:cs="Courier New" w:hint="default"/>
      </w:rPr>
    </w:lvl>
    <w:lvl w:ilvl="8" w:tplc="E68C0BF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01"/>
    <w:rsid w:val="004A604D"/>
    <w:rsid w:val="005B7BBA"/>
    <w:rsid w:val="009865DD"/>
    <w:rsid w:val="00991101"/>
    <w:rsid w:val="009F7B86"/>
    <w:rsid w:val="00D97D99"/>
    <w:rsid w:val="00EF6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F6655"/>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97D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F6655"/>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97D9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97D9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97D9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97D9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97D9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97D9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97D99"/>
    <w:rPr>
      <w:rFonts w:eastAsiaTheme="minorHAnsi" w:cstheme="minorBidi"/>
      <w:lang w:eastAsia="en-US"/>
    </w:rPr>
  </w:style>
  <w:style w:type="paragraph" w:styleId="BodyText">
    <w:name w:val="Body Text"/>
    <w:basedOn w:val="Normal"/>
    <w:link w:val="BodyTextChar"/>
    <w:uiPriority w:val="99"/>
    <w:unhideWhenUsed/>
    <w:rsid w:val="00D97D9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97D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97D99"/>
    <w:rPr>
      <w:b/>
      <w:bCs/>
    </w:rPr>
  </w:style>
  <w:style w:type="character" w:customStyle="1" w:styleId="CommentSubjectChar">
    <w:name w:val="Comment Subject Char"/>
    <w:basedOn w:val="CommentTextChar"/>
    <w:link w:val="CommentSubject"/>
    <w:uiPriority w:val="99"/>
    <w:rsid w:val="00D97D99"/>
    <w:rPr>
      <w:rFonts w:eastAsiaTheme="minorHAnsi" w:cstheme="minorBidi"/>
      <w:b/>
      <w:bCs/>
      <w:lang w:eastAsia="en-US"/>
    </w:rPr>
  </w:style>
  <w:style w:type="paragraph" w:styleId="BalloonText">
    <w:name w:val="Balloon Text"/>
    <w:basedOn w:val="Normal"/>
    <w:link w:val="BalloonTextChar"/>
    <w:uiPriority w:val="99"/>
    <w:unhideWhenUsed/>
    <w:rsid w:val="00D97D9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97D99"/>
    <w:rPr>
      <w:rFonts w:ascii="Tahoma" w:eastAsiaTheme="minorHAnsi" w:hAnsi="Tahoma" w:cs="Tahoma"/>
      <w:sz w:val="16"/>
      <w:szCs w:val="16"/>
      <w:lang w:eastAsia="en-US"/>
    </w:rPr>
  </w:style>
  <w:style w:type="paragraph" w:customStyle="1" w:styleId="OutcomeDescription">
    <w:name w:val="Outcome Description"/>
    <w:basedOn w:val="Normal"/>
    <w:qFormat/>
    <w:rsid w:val="00D97D9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97D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F6655"/>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97D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F6655"/>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97D9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97D9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97D9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97D9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97D9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97D9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97D99"/>
    <w:rPr>
      <w:rFonts w:eastAsiaTheme="minorHAnsi" w:cstheme="minorBidi"/>
      <w:lang w:eastAsia="en-US"/>
    </w:rPr>
  </w:style>
  <w:style w:type="paragraph" w:styleId="BodyText">
    <w:name w:val="Body Text"/>
    <w:basedOn w:val="Normal"/>
    <w:link w:val="BodyTextChar"/>
    <w:uiPriority w:val="99"/>
    <w:unhideWhenUsed/>
    <w:rsid w:val="00D97D9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97D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97D99"/>
    <w:rPr>
      <w:b/>
      <w:bCs/>
    </w:rPr>
  </w:style>
  <w:style w:type="character" w:customStyle="1" w:styleId="CommentSubjectChar">
    <w:name w:val="Comment Subject Char"/>
    <w:basedOn w:val="CommentTextChar"/>
    <w:link w:val="CommentSubject"/>
    <w:uiPriority w:val="99"/>
    <w:rsid w:val="00D97D99"/>
    <w:rPr>
      <w:rFonts w:eastAsiaTheme="minorHAnsi" w:cstheme="minorBidi"/>
      <w:b/>
      <w:bCs/>
      <w:lang w:eastAsia="en-US"/>
    </w:rPr>
  </w:style>
  <w:style w:type="paragraph" w:styleId="BalloonText">
    <w:name w:val="Balloon Text"/>
    <w:basedOn w:val="Normal"/>
    <w:link w:val="BalloonTextChar"/>
    <w:uiPriority w:val="99"/>
    <w:unhideWhenUsed/>
    <w:rsid w:val="00D97D9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97D99"/>
    <w:rPr>
      <w:rFonts w:ascii="Tahoma" w:eastAsiaTheme="minorHAnsi" w:hAnsi="Tahoma" w:cs="Tahoma"/>
      <w:sz w:val="16"/>
      <w:szCs w:val="16"/>
      <w:lang w:eastAsia="en-US"/>
    </w:rPr>
  </w:style>
  <w:style w:type="paragraph" w:customStyle="1" w:styleId="OutcomeDescription">
    <w:name w:val="Outcome Description"/>
    <w:basedOn w:val="Normal"/>
    <w:qFormat/>
    <w:rsid w:val="00D97D9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97D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181E-6491-402F-98F8-A55F1CA8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2015-01-21T22:57:00Z</dcterms:created>
  <dcterms:modified xsi:type="dcterms:W3CDTF">2015-02-12T19:32:00Z</dcterms:modified>
</cp:coreProperties>
</file>